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E5011">
      <w:pPr>
        <w:spacing w:after="160"/>
        <w:jc w:val="center"/>
        <w:rPr>
          <w:b/>
          <w:bCs/>
          <w:sz w:val="36"/>
          <w:szCs w:val="36"/>
        </w:rPr>
      </w:pPr>
      <w:r>
        <w:rPr>
          <w:rFonts w:ascii="宋体" w:hAnsi="宋体" w:eastAsia="宋体" w:cs="宋体"/>
          <w:b/>
          <w:sz w:val="36"/>
        </w:rPr>
        <w:t>技术响应表</w:t>
      </w:r>
    </w:p>
    <w:p w14:paraId="06F640D0">
      <w:pPr>
        <w:rPr>
          <w:rFonts w:hint="eastAsia"/>
        </w:rPr>
      </w:pPr>
    </w:p>
    <w:tbl>
      <w:tblPr>
        <w:tblStyle w:val="10"/>
        <w:tblW w:w="13867" w:type="dxa"/>
        <w:tblInd w:w="9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2"/>
        <w:gridCol w:w="5443"/>
        <w:gridCol w:w="5443"/>
        <w:gridCol w:w="1080"/>
        <w:gridCol w:w="1109"/>
      </w:tblGrid>
      <w:tr w14:paraId="2A98A0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09" w:hRule="atLeast"/>
          <w:tblHeader/>
        </w:trPr>
        <w:tc>
          <w:tcPr>
            <w:tcW w:w="792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418541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序号</w:t>
            </w:r>
          </w:p>
        </w:tc>
        <w:tc>
          <w:tcPr>
            <w:tcW w:w="5443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BC0E388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采购文件要求</w:t>
            </w:r>
          </w:p>
        </w:tc>
        <w:tc>
          <w:tcPr>
            <w:tcW w:w="5443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80A8FA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响应文件响应情况</w:t>
            </w:r>
          </w:p>
        </w:tc>
        <w:tc>
          <w:tcPr>
            <w:tcW w:w="1080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0DA8D7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响应程度</w:t>
            </w:r>
          </w:p>
        </w:tc>
        <w:tc>
          <w:tcPr>
            <w:tcW w:w="1109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293FAD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正偏离理由</w:t>
            </w:r>
          </w:p>
        </w:tc>
      </w:tr>
      <w:tr w14:paraId="369741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E1B40FE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1.1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EA06DE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项目范围与数量：建设学校门户（中文）主站PC和移动版1个、招生网改版1个、二级部门/院系/专题子网站PC版定制化设计实施6个；完成页面设计、网站改版和原有数据迁移。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CFEFB0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9DBE84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FB5F50">
            <w:pPr>
              <w:spacing w:before="0" w:after="0" w:line="240" w:lineRule="auto"/>
              <w:jc w:val="center"/>
            </w:pPr>
          </w:p>
        </w:tc>
      </w:tr>
      <w:tr w14:paraId="0134A0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5364EEB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1.2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A3E142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总体技术与页面设计：网站应传递学校健康、积极的形象定位；栏目布局主次有序、结构合理、重点突出；导航简洁明了，并对高频和重要功能栏目进行规划整合。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C5F905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F60789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4D183B">
            <w:pPr>
              <w:spacing w:before="0" w:after="0" w:line="240" w:lineRule="auto"/>
              <w:jc w:val="center"/>
            </w:pPr>
          </w:p>
        </w:tc>
      </w:tr>
      <w:tr w14:paraId="73F8D9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E3A617C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1.3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843081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页面及栏目规划、创意设计：充分调研用户需求，提交设计稿和设计思路；统一logo、版权、字体、色系、图片、动效、页面宽度和导航高度等规范；结合学校文化开展创意策划。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D7E265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0CBBD33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1FBF41">
            <w:pPr>
              <w:spacing w:before="0" w:after="0" w:line="240" w:lineRule="auto"/>
              <w:jc w:val="center"/>
            </w:pPr>
          </w:p>
        </w:tc>
      </w:tr>
      <w:tr w14:paraId="781967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20B78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1.4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814FAD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访问体验与整体优化：导航清楚、交互便捷、配色符合大众审美；结合现状和业务变化优化目录、功能及栏目，支持当前主流显示器分辨率和网页浏览器。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766362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4E7204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EEC97F">
            <w:pPr>
              <w:spacing w:before="0" w:after="0" w:line="240" w:lineRule="auto"/>
              <w:jc w:val="center"/>
            </w:pPr>
          </w:p>
        </w:tc>
      </w:tr>
      <w:tr w14:paraId="13678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553C69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1.5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D8BEA2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历史数据安全迁移：完成改版设计后，将原网站页面和数据完整迁移，确保数据完整、安全、迁移过程平滑，并在迁移完成后开展完整性测试。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E8BE2D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C3858A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A8F9C3">
            <w:pPr>
              <w:spacing w:before="0" w:after="0" w:line="240" w:lineRule="auto"/>
              <w:jc w:val="center"/>
            </w:pPr>
          </w:p>
        </w:tc>
      </w:tr>
      <w:tr w14:paraId="0F93F3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51A9E4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D55752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学校门户主站—调研分析：充分调研国内外同类高校门户网站，对学校现状进行分析，结合办学理念、办学特色、定位和自身特点提出栏目、首页内容、功能、布局及整体形象规划建议。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EFEDAE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58678E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F67CE9">
            <w:pPr>
              <w:spacing w:before="0" w:after="0" w:line="240" w:lineRule="auto"/>
              <w:jc w:val="center"/>
            </w:pPr>
          </w:p>
        </w:tc>
      </w:tr>
      <w:tr w14:paraId="63FFF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2761E8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2.2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1EA9081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学校门户主站—设计理念、风格与配色：结合高校门户国际化趋势和学校定位进行内容布局、配色、视觉元素及交互设计；提高信息获取效率；风格符合学校品牌气质且不雷同，配色符合学校VI体系。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D419AC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05FD84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31E7B9">
            <w:pPr>
              <w:spacing w:before="0" w:after="0" w:line="240" w:lineRule="auto"/>
              <w:jc w:val="center"/>
            </w:pPr>
          </w:p>
        </w:tc>
      </w:tr>
      <w:tr w14:paraId="0D6C1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7F6210B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2.3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122FBB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门户主站—设计元素及版权：设计元素须与学校特色强相关，合理使用学校特色视频、图片并挖掘新的品牌代表元素。★所有图像、视频、字体等设计元素须保证版权合法，侵权责任由供应商承担，并提供盖章承诺函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4E4C2A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3CC813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B2593F">
            <w:pPr>
              <w:spacing w:before="0" w:after="0" w:line="240" w:lineRule="auto"/>
              <w:jc w:val="center"/>
            </w:pPr>
          </w:p>
        </w:tc>
      </w:tr>
      <w:tr w14:paraId="41B59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19DDE2E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2.4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8AD29F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学校门户主站—内容规划：以用户需求组织信息架构和导航，必要时设置分流页面；栏目合理、严谨、精简且完整，并预留扩充能力；图文比例均衡，支持多语言；首页全面展示学校形象，功能入口醒目。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08D6BA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0B936E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C9548D">
            <w:pPr>
              <w:spacing w:before="0" w:after="0" w:line="240" w:lineRule="auto"/>
              <w:jc w:val="center"/>
            </w:pPr>
          </w:p>
        </w:tc>
      </w:tr>
      <w:tr w14:paraId="6A414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995F3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2.5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07DC8A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学校门户主站—交互设计：增加适度微互动，保证交互流畅；加载较慢时提供提示；按钮状态清晰；搜索框位置显眼，搜索结果突出相关字符并符合搜索意图；具备信息分享传播机制。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E08FED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2E5468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1041D3">
            <w:pPr>
              <w:spacing w:before="0" w:after="0" w:line="240" w:lineRule="auto"/>
              <w:jc w:val="center"/>
            </w:pPr>
          </w:p>
        </w:tc>
      </w:tr>
      <w:tr w14:paraId="4FCD5D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079E89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2.6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802818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★多屏适配：移动端与PC端保持一致的栏目结构和域名，采用HTML5实现PC、手机、Pad自动适配和优化，兼容主流操作系统及浏览器，文字自动换行、图片自适应。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5D9F91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F9CBBA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3310F7">
            <w:pPr>
              <w:spacing w:before="0" w:after="0" w:line="240" w:lineRule="auto"/>
              <w:jc w:val="center"/>
            </w:pPr>
          </w:p>
        </w:tc>
      </w:tr>
      <w:tr w14:paraId="57095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FA968C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3.1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AC4458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学校招生网改版（1个）：布局简洁、分区合理、层次分明；重要信息和招生入口突出；配色符合学校品牌并保证可读性；页面在手机、平板、电脑等设备上自适应，不得出现错乱或遮挡。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E3D1C8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755C09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4350E88">
            <w:pPr>
              <w:spacing w:before="0" w:after="0" w:line="240" w:lineRule="auto"/>
              <w:jc w:val="center"/>
            </w:pPr>
          </w:p>
        </w:tc>
      </w:tr>
      <w:tr w14:paraId="054C6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EEF4C5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4.1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6AFB96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学校子网站模板建站（6个）：服务期内按学校需求采用响应式模板建设6个子站；模板应明确配色方案和字体选择，保持视觉一致，并保证字体在各类设备上清晰显示。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AFFEB1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9903C4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9D0574">
            <w:pPr>
              <w:spacing w:before="0" w:after="0" w:line="240" w:lineRule="auto"/>
              <w:jc w:val="center"/>
            </w:pPr>
          </w:p>
        </w:tc>
      </w:tr>
      <w:tr w14:paraId="055A17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05413F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4.2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F74E15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子网站技术实现：使用HTML5/CSS3；设计头部、尾部、导航栏、主要内容区和页脚等清晰布局及导航结构；规范图像和媒体的分辨率、格式与交互效果；支持手机、平板、电脑自适应。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5C021A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91FDAD2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5EF045B">
            <w:pPr>
              <w:spacing w:before="0" w:after="0" w:line="240" w:lineRule="auto"/>
              <w:jc w:val="center"/>
            </w:pPr>
          </w:p>
        </w:tc>
      </w:tr>
      <w:tr w14:paraId="78635F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549105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B1D61C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网站实施规范（1）—（2）：基于原网站群平台设计实施并完整迁移原网站数据；加强实施规范管理，保证网站数据不泄密。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39F452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BAFCDA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CDF180">
            <w:pPr>
              <w:spacing w:before="0" w:after="0" w:line="240" w:lineRule="auto"/>
              <w:jc w:val="center"/>
            </w:pPr>
          </w:p>
        </w:tc>
      </w:tr>
      <w:tr w14:paraId="1A107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7330B5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5.2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53BFCF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网站实施规范（3）—（5）：满足二级部门建站要求，每个上线网站须提供使用部门签字验收报告；二级单位网站迁移至现有网站群平台并安全稳定运行；迁移后合理分派管理权限。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F01431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F9A6D38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B31158">
            <w:pPr>
              <w:spacing w:before="0" w:after="0" w:line="240" w:lineRule="auto"/>
              <w:jc w:val="center"/>
            </w:pPr>
          </w:p>
        </w:tc>
      </w:tr>
      <w:tr w14:paraId="1F721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746897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5.3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E604D9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★网站实施规范（6）：项目实施人员应掌握学校当前网站群平台主流建站技术，采用可视化建站、组件化管理、鼠标拖拽或智能设计技术；全面兼容现有站群平台，不另购管理后台，对接集成费用包含在整体报价中，并提供盖章承诺函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D9BA57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E7C11C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80EAAB">
            <w:pPr>
              <w:spacing w:before="0" w:after="0" w:line="240" w:lineRule="auto"/>
              <w:jc w:val="center"/>
            </w:pPr>
          </w:p>
        </w:tc>
      </w:tr>
      <w:tr w14:paraId="4A39F7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F372FE7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5.4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B842A1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网站实施规范（7）—（9）：代码易读且注释清晰，便于在站群后台查看和编辑；兼容IE、Chrome、360、搜狗、Safari、UC、QQ、Firefox等浏览器；所有迁移网站完全支持IPv6。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E6ED00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6B35C2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A61F18">
            <w:pPr>
              <w:spacing w:before="0" w:after="0" w:line="240" w:lineRule="auto"/>
              <w:jc w:val="center"/>
            </w:pPr>
          </w:p>
        </w:tc>
      </w:tr>
      <w:tr w14:paraId="6647DE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A4757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5.5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97A071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网站实施规范（10）：迁移完成后依托学校现有网站群平台实现一次发布、多终端访问，无需针对多终端、多网站重复发布维护；PC端与移动端域名完全一致。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55DBD0F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3FFE38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D6C0A6">
            <w:pPr>
              <w:spacing w:before="0" w:after="0" w:line="240" w:lineRule="auto"/>
              <w:jc w:val="center"/>
            </w:pPr>
          </w:p>
        </w:tc>
      </w:tr>
      <w:tr w14:paraId="5A2E13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8F4390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5.6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E5910B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11）—（13）：严格遵循安全性原则，VI、代码、CSS符合学校现有技术和设计规范；对数据和应用安全充分考虑；提供可视化、多级、可复用的栏目审核流程及微信、微博专属审核流程；迁移后在现有平台安全稳定运行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38B0E19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78293A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565BBF">
            <w:pPr>
              <w:spacing w:before="0" w:after="0" w:line="240" w:lineRule="auto"/>
              <w:jc w:val="center"/>
            </w:pPr>
          </w:p>
        </w:tc>
      </w:tr>
      <w:tr w14:paraId="2FBED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E2A95A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5.7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DFCC99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网站实施规范（14）：售后服务应提供成熟的信息化客户服务系统，实现客户问题处理的显性化跟踪。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598696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167A1C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C7D371">
            <w:pPr>
              <w:spacing w:before="0" w:after="0" w:line="240" w:lineRule="auto"/>
              <w:jc w:val="center"/>
            </w:pPr>
          </w:p>
        </w:tc>
      </w:tr>
      <w:tr w14:paraId="44D52A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E2F7F1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6.1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E0FD98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服务要求（1）—（3）：项目验收后提供1年质保；定期开展运营培训及经验交流；提供7×24小时在线服务，响应不超过30分钟，常规问题2小时内解决。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4D0540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BA68E7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607A64">
            <w:pPr>
              <w:spacing w:before="0" w:after="0" w:line="240" w:lineRule="auto"/>
              <w:jc w:val="center"/>
            </w:pPr>
          </w:p>
        </w:tc>
      </w:tr>
      <w:tr w14:paraId="23ABE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F1D285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6.2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CD5AB2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服务要求（4）—（6）：实施期由项目经理作为第一责任人承担服务请求响应和实现；维护期由项目高级经理负责响应和质量；开发、实施全过程依照CMMI L3规范执行。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86CB5D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CB4154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AC5927">
            <w:pPr>
              <w:spacing w:before="0" w:after="0" w:line="240" w:lineRule="auto"/>
              <w:jc w:val="center"/>
            </w:pPr>
          </w:p>
        </w:tc>
      </w:tr>
      <w:tr w14:paraId="660E7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F0FC2B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6.3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FDC993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服务要求（7）—（9）：提供客服电话和技术咨询；远程无法排除的故障在2日内提供现场服务；定期开展预防性维护；由专业团队提供使用、运维、管理、安全等技术支持并协助培养学校维护团队。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EC42F8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126D7F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8EA902">
            <w:pPr>
              <w:spacing w:before="0" w:after="0" w:line="240" w:lineRule="auto"/>
              <w:jc w:val="center"/>
            </w:pPr>
          </w:p>
        </w:tc>
      </w:tr>
      <w:tr w14:paraId="7AE755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92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5AE753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7"/>
              </w:rPr>
              <w:t>7.1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2E86AA7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7"/>
              </w:rPr>
              <w:t>培训要求：项目不同阶段以多种形式培训学校相关人员；保证培训人力投入并提供灵活培训方式和培训课件；实施过程中以不定期、不固定方式向项目参与人员转移技术与经验。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7F0D17">
            <w:pPr>
              <w:spacing w:before="0" w:after="0" w:line="240" w:lineRule="auto"/>
              <w:jc w:val="left"/>
            </w:pPr>
          </w:p>
        </w:tc>
        <w:tc>
          <w:tcPr>
            <w:tcW w:w="108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7878DC">
            <w:pPr>
              <w:spacing w:before="0" w:after="0" w:line="240" w:lineRule="auto"/>
              <w:jc w:val="center"/>
            </w:pPr>
          </w:p>
        </w:tc>
        <w:tc>
          <w:tcPr>
            <w:tcW w:w="110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846391">
            <w:pPr>
              <w:spacing w:before="0" w:after="0" w:line="240" w:lineRule="auto"/>
              <w:jc w:val="center"/>
            </w:pPr>
          </w:p>
        </w:tc>
      </w:tr>
    </w:tbl>
    <w:p w14:paraId="011910B6"/>
    <w:p w14:paraId="266E0E70">
      <w:pPr>
        <w:tabs>
          <w:tab w:val="left" w:pos="2197"/>
        </w:tabs>
        <w:rPr>
          <w:rFonts w:hint="eastAsia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177"/>
    <w:rsid w:val="00435177"/>
    <w:rsid w:val="008519A4"/>
    <w:rsid w:val="009F34EA"/>
    <w:rsid w:val="00AD4BC0"/>
    <w:rsid w:val="00CA6146"/>
    <w:rsid w:val="00D42509"/>
    <w:rsid w:val="05155871"/>
    <w:rsid w:val="0AA46763"/>
    <w:rsid w:val="0CCB4A7E"/>
    <w:rsid w:val="0DCB13B7"/>
    <w:rsid w:val="129C434C"/>
    <w:rsid w:val="176F246A"/>
    <w:rsid w:val="37316026"/>
    <w:rsid w:val="40FA4F87"/>
    <w:rsid w:val="45F646D6"/>
    <w:rsid w:val="47586362"/>
    <w:rsid w:val="482103F4"/>
    <w:rsid w:val="4999781B"/>
    <w:rsid w:val="4D714236"/>
    <w:rsid w:val="52E3552E"/>
    <w:rsid w:val="53B20636"/>
    <w:rsid w:val="54B0702A"/>
    <w:rsid w:val="5B850FE5"/>
    <w:rsid w:val="5F4109EC"/>
    <w:rsid w:val="62236F39"/>
    <w:rsid w:val="7628077E"/>
    <w:rsid w:val="7D244B35"/>
    <w:rsid w:val="7F416B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styleId="4">
    <w:name w:val="Body Text Indent"/>
    <w:basedOn w:val="1"/>
    <w:next w:val="5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2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4"/>
    <w:next w:val="8"/>
    <w:unhideWhenUsed/>
    <w:qFormat/>
    <w:uiPriority w:val="99"/>
    <w:pPr>
      <w:ind w:firstLine="420"/>
    </w:pPr>
  </w:style>
  <w:style w:type="character" w:customStyle="1" w:styleId="12">
    <w:name w:val="页脚 字符"/>
    <w:link w:val="6"/>
    <w:uiPriority w:val="0"/>
    <w:rPr>
      <w:kern w:val="2"/>
      <w:sz w:val="18"/>
      <w:szCs w:val="18"/>
    </w:rPr>
  </w:style>
  <w:style w:type="character" w:customStyle="1" w:styleId="13">
    <w:name w:val="页眉 字符"/>
    <w:link w:val="7"/>
    <w:uiPriority w:val="0"/>
    <w:rPr>
      <w:kern w:val="2"/>
      <w:sz w:val="18"/>
      <w:szCs w:val="18"/>
    </w:rPr>
  </w:style>
  <w:style w:type="paragraph" w:customStyle="1" w:styleId="14">
    <w:name w:val="Default"/>
    <w:next w:val="1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6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4094</Words>
  <Characters>4238</Characters>
  <Lines>8</Lines>
  <Paragraphs>2</Paragraphs>
  <TotalTime>0</TotalTime>
  <ScaleCrop>false</ScaleCrop>
  <LinksUpToDate>false</LinksUpToDate>
  <CharactersWithSpaces>4240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2026-06-15T05:22:00Z</dcterms:created>
  <dc:creator>Zz</dc:creator>
  <cp:lastModifiedBy>0000319</cp:lastModifiedBy>
  <dcterms:modified xsi:type="dcterms:W3CDTF">2026-07-23T00:35:55Z</dcterms:modified>
  <dc:subject>采购需求技术响应</dc:subject>
  <dc:title>山东工业职业学院网站制作项目技术响应表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8E1588A84BC74FB5B3420600388D80A2_13</vt:lpwstr>
  </property>
  <property fmtid="{D5CDD505-2E9C-101B-9397-08002B2CF9AE}" pid="4" name="KSOTemplateDocerSaveRecord">
    <vt:lpwstr>eyJoZGlkIjoiOTgyNjA3ZjM4NTMyZmVhMTgxNzAxNzE2MzVhZmFhYTkiLCJ1c2VySWQiOiIxNzkwOTU3MjI1In0=</vt:lpwstr>
  </property>
</Properties>
</file>