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山东工业职业学院人工智能开放型区域产教融合实践中心-AI产业园区北区实训室一</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SDGP370000000202602004295</w:t>
      </w:r>
    </w:p>
    <w:p>
      <w:pPr>
        <w:pStyle w:val="null5"/>
        <w:jc w:val="left"/>
        <w:outlineLvl w:val="2"/>
      </w:pPr>
      <w:r>
        <w:rPr>
          <w:rFonts w:ascii="仿宋_GB2312" w:hAnsi="仿宋_GB2312" w:cs="仿宋_GB2312" w:eastAsia="仿宋_GB2312"/>
          <w:sz w:val="28"/>
          <w:b/>
        </w:rPr>
        <w:t>山东工业职业学院</w:t>
      </w:r>
    </w:p>
    <w:p>
      <w:pPr>
        <w:pStyle w:val="null5"/>
        <w:jc w:val="center"/>
        <w:outlineLvl w:val="2"/>
      </w:pPr>
      <w:r>
        <w:rPr>
          <w:rFonts w:ascii="仿宋_GB2312" w:hAnsi="仿宋_GB2312" w:cs="仿宋_GB2312" w:eastAsia="仿宋_GB2312"/>
          <w:sz w:val="28"/>
          <w:b/>
        </w:rPr>
        <w:t>海逸恒安项目管理有限公司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海逸恒安项目管理有限公司</w:t>
      </w:r>
      <w:r>
        <w:rPr>
          <w:rFonts w:ascii="仿宋_GB2312" w:hAnsi="仿宋_GB2312" w:cs="仿宋_GB2312" w:eastAsia="仿宋_GB2312"/>
        </w:rPr>
        <w:t>（以下简称“代理机构”）受</w:t>
      </w:r>
      <w:r>
        <w:rPr>
          <w:rFonts w:ascii="仿宋_GB2312" w:hAnsi="仿宋_GB2312" w:cs="仿宋_GB2312" w:eastAsia="仿宋_GB2312"/>
        </w:rPr>
        <w:t>山东工业职业学院</w:t>
      </w:r>
      <w:r>
        <w:rPr>
          <w:rFonts w:ascii="仿宋_GB2312" w:hAnsi="仿宋_GB2312" w:cs="仿宋_GB2312" w:eastAsia="仿宋_GB2312"/>
        </w:rPr>
        <w:t>（以下简称“采购人”）委托，拟对</w:t>
      </w:r>
      <w:r>
        <w:rPr>
          <w:rFonts w:ascii="仿宋_GB2312" w:hAnsi="仿宋_GB2312" w:cs="仿宋_GB2312" w:eastAsia="仿宋_GB2312"/>
        </w:rPr>
        <w:t>山东工业职业学院人工智能开放型区域产教融合实践中心-AI产业园区北区实训室一</w:t>
      </w:r>
      <w:r>
        <w:rPr>
          <w:rFonts w:ascii="仿宋_GB2312" w:hAnsi="仿宋_GB2312" w:cs="仿宋_GB2312" w:eastAsia="仿宋_GB2312"/>
        </w:rPr>
        <w:t>采用公开招标采购方式进行采购，兹邀请符合本次招标要求的供应商参加投标。本项目为山东省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SDGP370000000202602004295</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山东工业职业学院人工智能开放型区域产教融合实践中心-AI产业园区北区实训室一</w:t>
      </w:r>
    </w:p>
    <w:p>
      <w:pPr>
        <w:pStyle w:val="null5"/>
        <w:ind w:firstLine="480"/>
        <w:jc w:val="left"/>
        <w:outlineLvl w:val="2"/>
      </w:pPr>
      <w:r>
        <w:rPr>
          <w:rFonts w:ascii="仿宋_GB2312" w:hAnsi="仿宋_GB2312" w:cs="仿宋_GB2312" w:eastAsia="仿宋_GB2312"/>
          <w:sz w:val="28"/>
          <w:b/>
        </w:rPr>
        <w:t>1.3.招标项目简介</w:t>
      </w:r>
    </w:p>
    <w:p>
      <w:pPr>
        <w:pStyle w:val="null5"/>
        <w:ind w:firstLine="480"/>
        <w:jc w:val="left"/>
      </w:pPr>
      <w:r>
        <w:rPr>
          <w:rFonts w:ascii="仿宋_GB2312" w:hAnsi="仿宋_GB2312" w:cs="仿宋_GB2312" w:eastAsia="仿宋_GB2312"/>
        </w:rPr>
        <w:t>理实一体化课程：智能体应用开发、深度学习应用开发、自然语言处理；培养学生技能：培养学生掌握智能体设计、深度学习模型开发、自然语言处理等核心技能。学院拟规划建设以人工智能技术应用专业为核心，围绕人工智能专业企业实际需求岗位的AI产业园区，从建设园区中引入科研项目、创新项目等，人工智能产业园区建设项目主要以人工智能技术应用实训室建设为重点，建成理实一体化教学实训室，为专业群人才培养奠定基础。</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5、符合法律、行政法规规定的其他条件：符合法律、行政法规规定的其他条件。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1、信用记录：在“信用中国”、中国政府采购网、“信用山东”网站中被列入失信被执行人、重大税收违法案件当事人名单、政府采购严重违法失信行为记录名单的供应商，不得参加本次采购活动</w:t>
      </w:r>
    </w:p>
    <w:p>
      <w:pPr>
        <w:pStyle w:val="null5"/>
        <w:jc w:val="left"/>
      </w:pPr>
      <w:r>
        <w:rPr>
          <w:rFonts w:ascii="仿宋_GB2312" w:hAnsi="仿宋_GB2312" w:cs="仿宋_GB2312" w:eastAsia="仿宋_GB2312"/>
        </w:rPr>
        <w:t>2、单位负责人为同一人或者存在直接控股、管理关系的不同供应商，不得参加同一合同项下（同一包号）的政府采购活动：单位负责人为同一人或者存在直接控股、管理关系的不同供应商，不得参加同一合同项下（同一包号）的政府采购活动</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 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1.7.招标文件获取时间、方式及地址</w:t>
      </w:r>
    </w:p>
    <w:p>
      <w:pPr>
        <w:pStyle w:val="null5"/>
        <w:ind w:firstLine="480"/>
        <w:jc w:val="both"/>
      </w:pPr>
      <w:r>
        <w:rPr>
          <w:rFonts w:ascii="仿宋_GB2312" w:hAnsi="仿宋_GB2312" w:cs="仿宋_GB2312" w:eastAsia="仿宋_GB2312"/>
        </w:rPr>
        <w:t>一、招标文件获取时间：详见采购公告。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1.8.投标截止时间及开标时间、方式、地点</w:t>
      </w:r>
    </w:p>
    <w:p>
      <w:pPr>
        <w:pStyle w:val="null5"/>
        <w:ind w:firstLine="480"/>
        <w:jc w:val="both"/>
      </w:pPr>
      <w:r>
        <w:rPr>
          <w:rFonts w:ascii="仿宋_GB2312" w:hAnsi="仿宋_GB2312" w:cs="仿宋_GB2312" w:eastAsia="仿宋_GB2312"/>
        </w:rPr>
        <w:t>一、投标截止时间及开标时间：详见采购公告。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山东工业职业学院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山东省淄博市桓台县张北路69号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256400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0533-8407990</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海逸恒安项目管理有限公司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山东省济南市历下区华润置地广场A5-6号楼26层/27层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陈晓楠、张晗</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0531-82665067、13210505512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采购包1：955,000.00元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本采购包履约保证金为合同金额的2%</w:t>
            </w:r>
          </w:p>
          <w:p>
            <w:pPr>
              <w:pStyle w:val="null5"/>
              <w:jc w:val="left"/>
            </w:pPr>
            <w:r>
              <w:rPr>
                <w:rFonts w:ascii="仿宋_GB2312" w:hAnsi="仿宋_GB2312" w:cs="仿宋_GB2312" w:eastAsia="仿宋_GB2312"/>
              </w:rPr>
              <w:t>说明：中标人须按中标金额的2%缴纳履约保证金，履约保证金缴纳形式为银行保函。签订合同时，中标人将保函原件交至学校财务处。项目履约完成验收合格后，联系项目负责人退还保函。</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自投标截止之日起90日历天</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代理服务费收费标准：采购代理服务费参照国家计委计价格（2002）1980号文的收费标准下浮20%后计取，由中标人向代理机构交纳。 代理服务费收取账号： 开户单位名称：海逸恒安项目管理有限公司； 开户银行：中信银行济南花园路支行； 账 号：8112501012501728161。</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山东工业职业学院</w:t>
      </w:r>
      <w:r>
        <w:rPr>
          <w:rFonts w:ascii="仿宋_GB2312" w:hAnsi="仿宋_GB2312" w:cs="仿宋_GB2312" w:eastAsia="仿宋_GB2312"/>
        </w:rPr>
        <w:t xml:space="preserve"> 和 </w:t>
      </w:r>
      <w:r>
        <w:rPr>
          <w:rFonts w:ascii="仿宋_GB2312" w:hAnsi="仿宋_GB2312" w:cs="仿宋_GB2312" w:eastAsia="仿宋_GB2312"/>
        </w:rPr>
        <w:t>海逸恒安项目管理有限公司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山东工业职业学院</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海逸恒安项目管理有限公司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供应商向采购人提交项目验收申请后，经采购人确认达到验收条件的，采购人按照履约验收管理办法等相关规定启动项目验收</w:t>
      </w:r>
      <w:r>
        <w:rPr>
          <w:rFonts w:ascii="仿宋_GB2312" w:hAnsi="仿宋_GB2312" w:cs="仿宋_GB2312" w:eastAsia="仿宋_GB2312"/>
        </w:rPr>
        <w:t xml:space="preserve"> ，达到验收条件起 </w:t>
      </w:r>
      <w:r>
        <w:rPr>
          <w:rFonts w:ascii="仿宋_GB2312" w:hAnsi="仿宋_GB2312" w:cs="仿宋_GB2312" w:eastAsia="仿宋_GB2312"/>
        </w:rPr>
        <w:t>14</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采购文件技术规定、响应文件响应内容</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采购文件商务要求、响应文件响应及承诺内容</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1）甲方进行履约验收的主要依据。甲方应专门成立履约验收小组,验收小组由校外专家、校内专业技术人员、使用部门人员5人以上单数组成。其中校外专家由代理公司从政采专家库中抽取或由校方邀请相关领域专家，费用参照《山东省政府采购评审劳务报酬标准》执行。校外专家费由中标单位承担于乙方交付验收前交代理公司专为支付，请投标单位在投保报价时一并考虑。乙方交付项目验收时，验收人员应与采购人员相分离。验收应严格按照磋商文件和采购合同进行，保证采购项目与磋商文件和采购合同内容的一致。 （2）产品到达交货地点前交付前，甲方和乙方在5日内共同检验产品数量和质量等状况，由乙方负责并承当相应的费用，甲方应积极配合。开箱后，乙方进行安装调试后，由甲方联合验收小组验收。每月维保验收合格后，甲、乙双方在《验收报告》或《维保清单》上签字确认。 （3）对产品的外观质量问题，甲方应在发现和应当发现之日起30日内向乙方提出书面异议，乙方在接到书面异议后，应当在2日内负责处理。甲方逾期提出的，对所交产品视为符合合同的规定。 （4）经双方共同验收，产品达不到质量或规格要求的，甲方可以拒收，拒绝在验收报告》或《维保清单》上签字，并可以解除合同并扣留履约保证金作为违约金。</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山东工业职业学院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海逸恒安项目管理有限公司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海逸恒安项目管理有限公司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联系人：陈晓楠、张晗</w:t>
      </w:r>
    </w:p>
    <w:p>
      <w:pPr>
        <w:pStyle w:val="null5"/>
        <w:jc w:val="left"/>
      </w:pPr>
      <w:r>
        <w:rPr>
          <w:rFonts w:ascii="仿宋_GB2312" w:hAnsi="仿宋_GB2312" w:cs="仿宋_GB2312" w:eastAsia="仿宋_GB2312"/>
        </w:rPr>
        <w:t>联系电话：13210505512</w:t>
      </w:r>
    </w:p>
    <w:p>
      <w:pPr>
        <w:pStyle w:val="null5"/>
        <w:jc w:val="left"/>
      </w:pPr>
      <w:r>
        <w:rPr>
          <w:rFonts w:ascii="仿宋_GB2312" w:hAnsi="仿宋_GB2312" w:cs="仿宋_GB2312" w:eastAsia="仿宋_GB2312"/>
        </w:rPr>
        <w:t>地址：山东省济南市历下区华润置地广场A5-6号楼27层招标三部</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955,000.00</w:t>
      </w:r>
    </w:p>
    <w:p>
      <w:pPr>
        <w:pStyle w:val="null5"/>
        <w:jc w:val="left"/>
      </w:pPr>
      <w:r>
        <w:rPr>
          <w:rFonts w:ascii="仿宋_GB2312" w:hAnsi="仿宋_GB2312" w:cs="仿宋_GB2312" w:eastAsia="仿宋_GB2312"/>
        </w:rPr>
        <w:t>采购包最高限价（元）: 955,000.00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AI可视化仿真学习系统</w:t>
            </w:r>
          </w:p>
        </w:tc>
        <w:tc>
          <w:tcPr>
            <w:tcW w:type="dxa" w:w="923"/>
          </w:tcPr>
          <w:p>
            <w:pPr>
              <w:pStyle w:val="null5"/>
              <w:jc w:val="right"/>
            </w:pPr>
            <w:r>
              <w:rPr>
                <w:rFonts w:ascii="仿宋_GB2312" w:hAnsi="仿宋_GB2312" w:cs="仿宋_GB2312" w:eastAsia="仿宋_GB2312"/>
              </w:rPr>
              <w:t>1.00（套）</w:t>
            </w:r>
          </w:p>
        </w:tc>
        <w:tc>
          <w:tcPr>
            <w:tcW w:type="dxa" w:w="923"/>
          </w:tcPr>
          <w:p>
            <w:pPr>
              <w:pStyle w:val="null5"/>
              <w:jc w:val="right"/>
            </w:pPr>
            <w:r>
              <w:rPr>
                <w:rFonts w:ascii="仿宋_GB2312" w:hAnsi="仿宋_GB2312" w:cs="仿宋_GB2312" w:eastAsia="仿宋_GB2312"/>
              </w:rPr>
              <w:t>360,000.00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2</w:t>
            </w:r>
          </w:p>
        </w:tc>
        <w:tc>
          <w:tcPr>
            <w:tcW w:type="dxa" w:w="923"/>
          </w:tcPr>
          <w:p>
            <w:pPr>
              <w:pStyle w:val="null5"/>
              <w:jc w:val="left"/>
            </w:pPr>
            <w:r>
              <w:rPr>
                <w:rFonts w:ascii="仿宋_GB2312" w:hAnsi="仿宋_GB2312" w:cs="仿宋_GB2312" w:eastAsia="仿宋_GB2312"/>
              </w:rPr>
              <w:t>智能体应用开发教学资源</w:t>
            </w:r>
          </w:p>
        </w:tc>
        <w:tc>
          <w:tcPr>
            <w:tcW w:type="dxa" w:w="923"/>
          </w:tcPr>
          <w:p>
            <w:pPr>
              <w:pStyle w:val="null5"/>
              <w:jc w:val="right"/>
            </w:pPr>
            <w:r>
              <w:rPr>
                <w:rFonts w:ascii="仿宋_GB2312" w:hAnsi="仿宋_GB2312" w:cs="仿宋_GB2312" w:eastAsia="仿宋_GB2312"/>
              </w:rPr>
              <w:t>1.00（套）</w:t>
            </w:r>
          </w:p>
        </w:tc>
        <w:tc>
          <w:tcPr>
            <w:tcW w:type="dxa" w:w="923"/>
          </w:tcPr>
          <w:p>
            <w:pPr>
              <w:pStyle w:val="null5"/>
              <w:jc w:val="right"/>
            </w:pPr>
            <w:r>
              <w:rPr>
                <w:rFonts w:ascii="仿宋_GB2312" w:hAnsi="仿宋_GB2312" w:cs="仿宋_GB2312" w:eastAsia="仿宋_GB2312"/>
              </w:rPr>
              <w:t>130,000.00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3</w:t>
            </w:r>
          </w:p>
        </w:tc>
        <w:tc>
          <w:tcPr>
            <w:tcW w:type="dxa" w:w="923"/>
          </w:tcPr>
          <w:p>
            <w:pPr>
              <w:pStyle w:val="null5"/>
              <w:jc w:val="left"/>
            </w:pPr>
            <w:r>
              <w:rPr>
                <w:rFonts w:ascii="仿宋_GB2312" w:hAnsi="仿宋_GB2312" w:cs="仿宋_GB2312" w:eastAsia="仿宋_GB2312"/>
              </w:rPr>
              <w:t>深度学习应用开发教学资源</w:t>
            </w:r>
          </w:p>
        </w:tc>
        <w:tc>
          <w:tcPr>
            <w:tcW w:type="dxa" w:w="923"/>
          </w:tcPr>
          <w:p>
            <w:pPr>
              <w:pStyle w:val="null5"/>
              <w:jc w:val="right"/>
            </w:pPr>
            <w:r>
              <w:rPr>
                <w:rFonts w:ascii="仿宋_GB2312" w:hAnsi="仿宋_GB2312" w:cs="仿宋_GB2312" w:eastAsia="仿宋_GB2312"/>
              </w:rPr>
              <w:t>1.00（套）</w:t>
            </w:r>
          </w:p>
        </w:tc>
        <w:tc>
          <w:tcPr>
            <w:tcW w:type="dxa" w:w="923"/>
          </w:tcPr>
          <w:p>
            <w:pPr>
              <w:pStyle w:val="null5"/>
              <w:jc w:val="right"/>
            </w:pPr>
            <w:r>
              <w:rPr>
                <w:rFonts w:ascii="仿宋_GB2312" w:hAnsi="仿宋_GB2312" w:cs="仿宋_GB2312" w:eastAsia="仿宋_GB2312"/>
              </w:rPr>
              <w:t>100,000.00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4</w:t>
            </w:r>
          </w:p>
        </w:tc>
        <w:tc>
          <w:tcPr>
            <w:tcW w:type="dxa" w:w="923"/>
          </w:tcPr>
          <w:p>
            <w:pPr>
              <w:pStyle w:val="null5"/>
              <w:jc w:val="left"/>
            </w:pPr>
            <w:r>
              <w:rPr>
                <w:rFonts w:ascii="仿宋_GB2312" w:hAnsi="仿宋_GB2312" w:cs="仿宋_GB2312" w:eastAsia="仿宋_GB2312"/>
              </w:rPr>
              <w:t>自然语言应用开发教学资源</w:t>
            </w:r>
          </w:p>
        </w:tc>
        <w:tc>
          <w:tcPr>
            <w:tcW w:type="dxa" w:w="923"/>
          </w:tcPr>
          <w:p>
            <w:pPr>
              <w:pStyle w:val="null5"/>
              <w:jc w:val="right"/>
            </w:pPr>
            <w:r>
              <w:rPr>
                <w:rFonts w:ascii="仿宋_GB2312" w:hAnsi="仿宋_GB2312" w:cs="仿宋_GB2312" w:eastAsia="仿宋_GB2312"/>
              </w:rPr>
              <w:t>1.00（套）</w:t>
            </w:r>
          </w:p>
        </w:tc>
        <w:tc>
          <w:tcPr>
            <w:tcW w:type="dxa" w:w="923"/>
          </w:tcPr>
          <w:p>
            <w:pPr>
              <w:pStyle w:val="null5"/>
              <w:jc w:val="right"/>
            </w:pPr>
            <w:r>
              <w:rPr>
                <w:rFonts w:ascii="仿宋_GB2312" w:hAnsi="仿宋_GB2312" w:cs="仿宋_GB2312" w:eastAsia="仿宋_GB2312"/>
              </w:rPr>
              <w:t>100,000.00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5</w:t>
            </w:r>
          </w:p>
        </w:tc>
        <w:tc>
          <w:tcPr>
            <w:tcW w:type="dxa" w:w="923"/>
          </w:tcPr>
          <w:p>
            <w:pPr>
              <w:pStyle w:val="null5"/>
              <w:jc w:val="left"/>
            </w:pPr>
            <w:r>
              <w:rPr>
                <w:rFonts w:ascii="仿宋_GB2312" w:hAnsi="仿宋_GB2312" w:cs="仿宋_GB2312" w:eastAsia="仿宋_GB2312"/>
              </w:rPr>
              <w:t>互动教学终端</w:t>
            </w:r>
          </w:p>
        </w:tc>
        <w:tc>
          <w:tcPr>
            <w:tcW w:type="dxa" w:w="923"/>
          </w:tcPr>
          <w:p>
            <w:pPr>
              <w:pStyle w:val="null5"/>
              <w:jc w:val="right"/>
            </w:pPr>
            <w:r>
              <w:rPr>
                <w:rFonts w:ascii="仿宋_GB2312" w:hAnsi="仿宋_GB2312" w:cs="仿宋_GB2312" w:eastAsia="仿宋_GB2312"/>
              </w:rPr>
              <w:t>3.00（台）</w:t>
            </w:r>
          </w:p>
        </w:tc>
        <w:tc>
          <w:tcPr>
            <w:tcW w:type="dxa" w:w="923"/>
          </w:tcPr>
          <w:p>
            <w:pPr>
              <w:pStyle w:val="null5"/>
              <w:jc w:val="right"/>
            </w:pPr>
            <w:r>
              <w:rPr>
                <w:rFonts w:ascii="仿宋_GB2312" w:hAnsi="仿宋_GB2312" w:cs="仿宋_GB2312" w:eastAsia="仿宋_GB2312"/>
              </w:rPr>
              <w:t>33,000.00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6</w:t>
            </w:r>
          </w:p>
        </w:tc>
        <w:tc>
          <w:tcPr>
            <w:tcW w:type="dxa" w:w="923"/>
          </w:tcPr>
          <w:p>
            <w:pPr>
              <w:pStyle w:val="null5"/>
              <w:jc w:val="left"/>
            </w:pPr>
            <w:r>
              <w:rPr>
                <w:rFonts w:ascii="仿宋_GB2312" w:hAnsi="仿宋_GB2312" w:cs="仿宋_GB2312" w:eastAsia="仿宋_GB2312"/>
              </w:rPr>
              <w:t>交换机</w:t>
            </w:r>
          </w:p>
        </w:tc>
        <w:tc>
          <w:tcPr>
            <w:tcW w:type="dxa" w:w="923"/>
          </w:tcPr>
          <w:p>
            <w:pPr>
              <w:pStyle w:val="null5"/>
              <w:jc w:val="right"/>
            </w:pPr>
            <w:r>
              <w:rPr>
                <w:rFonts w:ascii="仿宋_GB2312" w:hAnsi="仿宋_GB2312" w:cs="仿宋_GB2312" w:eastAsia="仿宋_GB2312"/>
              </w:rPr>
              <w:t>6.00（台）</w:t>
            </w:r>
          </w:p>
        </w:tc>
        <w:tc>
          <w:tcPr>
            <w:tcW w:type="dxa" w:w="923"/>
          </w:tcPr>
          <w:p>
            <w:pPr>
              <w:pStyle w:val="null5"/>
              <w:jc w:val="right"/>
            </w:pPr>
            <w:r>
              <w:rPr>
                <w:rFonts w:ascii="仿宋_GB2312" w:hAnsi="仿宋_GB2312" w:cs="仿宋_GB2312" w:eastAsia="仿宋_GB2312"/>
              </w:rPr>
              <w:t>9,600.00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7</w:t>
            </w:r>
          </w:p>
        </w:tc>
        <w:tc>
          <w:tcPr>
            <w:tcW w:type="dxa" w:w="923"/>
          </w:tcPr>
          <w:p>
            <w:pPr>
              <w:pStyle w:val="null5"/>
              <w:jc w:val="left"/>
            </w:pPr>
            <w:r>
              <w:rPr>
                <w:rFonts w:ascii="仿宋_GB2312" w:hAnsi="仿宋_GB2312" w:cs="仿宋_GB2312" w:eastAsia="仿宋_GB2312"/>
              </w:rPr>
              <w:t>企业级路由器</w:t>
            </w:r>
          </w:p>
        </w:tc>
        <w:tc>
          <w:tcPr>
            <w:tcW w:type="dxa" w:w="923"/>
          </w:tcPr>
          <w:p>
            <w:pPr>
              <w:pStyle w:val="null5"/>
              <w:jc w:val="right"/>
            </w:pPr>
            <w:r>
              <w:rPr>
                <w:rFonts w:ascii="仿宋_GB2312" w:hAnsi="仿宋_GB2312" w:cs="仿宋_GB2312" w:eastAsia="仿宋_GB2312"/>
              </w:rPr>
              <w:t>3.00（台）</w:t>
            </w:r>
          </w:p>
        </w:tc>
        <w:tc>
          <w:tcPr>
            <w:tcW w:type="dxa" w:w="923"/>
          </w:tcPr>
          <w:p>
            <w:pPr>
              <w:pStyle w:val="null5"/>
              <w:jc w:val="right"/>
            </w:pPr>
            <w:r>
              <w:rPr>
                <w:rFonts w:ascii="仿宋_GB2312" w:hAnsi="仿宋_GB2312" w:cs="仿宋_GB2312" w:eastAsia="仿宋_GB2312"/>
              </w:rPr>
              <w:t>5,400.00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8</w:t>
            </w:r>
          </w:p>
        </w:tc>
        <w:tc>
          <w:tcPr>
            <w:tcW w:type="dxa" w:w="923"/>
          </w:tcPr>
          <w:p>
            <w:pPr>
              <w:pStyle w:val="null5"/>
              <w:jc w:val="left"/>
            </w:pPr>
            <w:r>
              <w:rPr>
                <w:rFonts w:ascii="仿宋_GB2312" w:hAnsi="仿宋_GB2312" w:cs="仿宋_GB2312" w:eastAsia="仿宋_GB2312"/>
              </w:rPr>
              <w:t>机柜</w:t>
            </w:r>
          </w:p>
        </w:tc>
        <w:tc>
          <w:tcPr>
            <w:tcW w:type="dxa" w:w="923"/>
          </w:tcPr>
          <w:p>
            <w:pPr>
              <w:pStyle w:val="null5"/>
              <w:jc w:val="right"/>
            </w:pPr>
            <w:r>
              <w:rPr>
                <w:rFonts w:ascii="仿宋_GB2312" w:hAnsi="仿宋_GB2312" w:cs="仿宋_GB2312" w:eastAsia="仿宋_GB2312"/>
              </w:rPr>
              <w:t>3.00（台）</w:t>
            </w:r>
          </w:p>
        </w:tc>
        <w:tc>
          <w:tcPr>
            <w:tcW w:type="dxa" w:w="923"/>
          </w:tcPr>
          <w:p>
            <w:pPr>
              <w:pStyle w:val="null5"/>
              <w:jc w:val="right"/>
            </w:pPr>
            <w:r>
              <w:rPr>
                <w:rFonts w:ascii="仿宋_GB2312" w:hAnsi="仿宋_GB2312" w:cs="仿宋_GB2312" w:eastAsia="仿宋_GB2312"/>
              </w:rPr>
              <w:t>1,950.00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9</w:t>
            </w:r>
          </w:p>
        </w:tc>
        <w:tc>
          <w:tcPr>
            <w:tcW w:type="dxa" w:w="923"/>
          </w:tcPr>
          <w:p>
            <w:pPr>
              <w:pStyle w:val="null5"/>
              <w:jc w:val="left"/>
            </w:pPr>
            <w:r>
              <w:rPr>
                <w:rFonts w:ascii="仿宋_GB2312" w:hAnsi="仿宋_GB2312" w:cs="仿宋_GB2312" w:eastAsia="仿宋_GB2312"/>
              </w:rPr>
              <w:t>实训桌椅</w:t>
            </w:r>
          </w:p>
        </w:tc>
        <w:tc>
          <w:tcPr>
            <w:tcW w:type="dxa" w:w="923"/>
          </w:tcPr>
          <w:p>
            <w:pPr>
              <w:pStyle w:val="null5"/>
              <w:jc w:val="right"/>
            </w:pPr>
            <w:r>
              <w:rPr>
                <w:rFonts w:ascii="仿宋_GB2312" w:hAnsi="仿宋_GB2312" w:cs="仿宋_GB2312" w:eastAsia="仿宋_GB2312"/>
              </w:rPr>
              <w:t>69.00（套）</w:t>
            </w:r>
          </w:p>
        </w:tc>
        <w:tc>
          <w:tcPr>
            <w:tcW w:type="dxa" w:w="923"/>
          </w:tcPr>
          <w:p>
            <w:pPr>
              <w:pStyle w:val="null5"/>
              <w:jc w:val="right"/>
            </w:pPr>
            <w:r>
              <w:rPr>
                <w:rFonts w:ascii="仿宋_GB2312" w:hAnsi="仿宋_GB2312" w:cs="仿宋_GB2312" w:eastAsia="仿宋_GB2312"/>
              </w:rPr>
              <w:t>51,750.00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10</w:t>
            </w:r>
          </w:p>
        </w:tc>
        <w:tc>
          <w:tcPr>
            <w:tcW w:type="dxa" w:w="923"/>
          </w:tcPr>
          <w:p>
            <w:pPr>
              <w:pStyle w:val="null5"/>
              <w:jc w:val="left"/>
            </w:pPr>
            <w:r>
              <w:rPr>
                <w:rFonts w:ascii="仿宋_GB2312" w:hAnsi="仿宋_GB2312" w:cs="仿宋_GB2312" w:eastAsia="仿宋_GB2312"/>
              </w:rPr>
              <w:t>显示系统</w:t>
            </w:r>
          </w:p>
        </w:tc>
        <w:tc>
          <w:tcPr>
            <w:tcW w:type="dxa" w:w="923"/>
          </w:tcPr>
          <w:p>
            <w:pPr>
              <w:pStyle w:val="null5"/>
              <w:jc w:val="right"/>
            </w:pPr>
            <w:r>
              <w:rPr>
                <w:rFonts w:ascii="仿宋_GB2312" w:hAnsi="仿宋_GB2312" w:cs="仿宋_GB2312" w:eastAsia="仿宋_GB2312"/>
              </w:rPr>
              <w:t>2.00（台）</w:t>
            </w:r>
          </w:p>
        </w:tc>
        <w:tc>
          <w:tcPr>
            <w:tcW w:type="dxa" w:w="923"/>
          </w:tcPr>
          <w:p>
            <w:pPr>
              <w:pStyle w:val="null5"/>
              <w:jc w:val="right"/>
            </w:pPr>
            <w:r>
              <w:rPr>
                <w:rFonts w:ascii="仿宋_GB2312" w:hAnsi="仿宋_GB2312" w:cs="仿宋_GB2312" w:eastAsia="仿宋_GB2312"/>
              </w:rPr>
              <w:t>22,000.00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11</w:t>
            </w:r>
          </w:p>
        </w:tc>
        <w:tc>
          <w:tcPr>
            <w:tcW w:type="dxa" w:w="923"/>
          </w:tcPr>
          <w:p>
            <w:pPr>
              <w:pStyle w:val="null5"/>
              <w:jc w:val="left"/>
            </w:pPr>
            <w:r>
              <w:rPr>
                <w:rFonts w:ascii="仿宋_GB2312" w:hAnsi="仿宋_GB2312" w:cs="仿宋_GB2312" w:eastAsia="仿宋_GB2312"/>
              </w:rPr>
              <w:t>会议桌</w:t>
            </w:r>
          </w:p>
        </w:tc>
        <w:tc>
          <w:tcPr>
            <w:tcW w:type="dxa" w:w="923"/>
          </w:tcPr>
          <w:p>
            <w:pPr>
              <w:pStyle w:val="null5"/>
              <w:jc w:val="right"/>
            </w:pPr>
            <w:r>
              <w:rPr>
                <w:rFonts w:ascii="仿宋_GB2312" w:hAnsi="仿宋_GB2312" w:cs="仿宋_GB2312" w:eastAsia="仿宋_GB2312"/>
              </w:rPr>
              <w:t>2.00（张）</w:t>
            </w:r>
          </w:p>
        </w:tc>
        <w:tc>
          <w:tcPr>
            <w:tcW w:type="dxa" w:w="923"/>
          </w:tcPr>
          <w:p>
            <w:pPr>
              <w:pStyle w:val="null5"/>
              <w:jc w:val="right"/>
            </w:pPr>
            <w:r>
              <w:rPr>
                <w:rFonts w:ascii="仿宋_GB2312" w:hAnsi="仿宋_GB2312" w:cs="仿宋_GB2312" w:eastAsia="仿宋_GB2312"/>
              </w:rPr>
              <w:t>7,000.00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12</w:t>
            </w:r>
          </w:p>
        </w:tc>
        <w:tc>
          <w:tcPr>
            <w:tcW w:type="dxa" w:w="923"/>
          </w:tcPr>
          <w:p>
            <w:pPr>
              <w:pStyle w:val="null5"/>
              <w:jc w:val="left"/>
            </w:pPr>
            <w:r>
              <w:rPr>
                <w:rFonts w:ascii="仿宋_GB2312" w:hAnsi="仿宋_GB2312" w:cs="仿宋_GB2312" w:eastAsia="仿宋_GB2312"/>
              </w:rPr>
              <w:t>网络中心机柜</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2,000.00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13</w:t>
            </w:r>
          </w:p>
        </w:tc>
        <w:tc>
          <w:tcPr>
            <w:tcW w:type="dxa" w:w="923"/>
          </w:tcPr>
          <w:p>
            <w:pPr>
              <w:pStyle w:val="null5"/>
              <w:jc w:val="left"/>
            </w:pPr>
            <w:r>
              <w:rPr>
                <w:rFonts w:ascii="仿宋_GB2312" w:hAnsi="仿宋_GB2312" w:cs="仿宋_GB2312" w:eastAsia="仿宋_GB2312"/>
              </w:rPr>
              <w:t>业务交换机</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2,800.00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14</w:t>
            </w:r>
          </w:p>
        </w:tc>
        <w:tc>
          <w:tcPr>
            <w:tcW w:type="dxa" w:w="923"/>
          </w:tcPr>
          <w:p>
            <w:pPr>
              <w:pStyle w:val="null5"/>
              <w:jc w:val="left"/>
            </w:pPr>
            <w:r>
              <w:rPr>
                <w:rFonts w:ascii="仿宋_GB2312" w:hAnsi="仿宋_GB2312" w:cs="仿宋_GB2312" w:eastAsia="仿宋_GB2312"/>
              </w:rPr>
              <w:t>环境改造</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99,500.00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r>
        <w:tc>
          <w:tcPr>
            <w:tcW w:type="dxa" w:w="923"/>
          </w:tcPr>
          <w:p>
            <w:pPr>
              <w:pStyle w:val="null5"/>
              <w:jc w:val="left"/>
            </w:pPr>
            <w:r>
              <w:rPr>
                <w:rFonts w:ascii="仿宋_GB2312" w:hAnsi="仿宋_GB2312" w:cs="仿宋_GB2312" w:eastAsia="仿宋_GB2312"/>
              </w:rPr>
              <w:t>15</w:t>
            </w:r>
          </w:p>
        </w:tc>
        <w:tc>
          <w:tcPr>
            <w:tcW w:type="dxa" w:w="923"/>
          </w:tcPr>
          <w:p>
            <w:pPr>
              <w:pStyle w:val="null5"/>
              <w:jc w:val="left"/>
            </w:pPr>
            <w:r>
              <w:rPr>
                <w:rFonts w:ascii="仿宋_GB2312" w:hAnsi="仿宋_GB2312" w:cs="仿宋_GB2312" w:eastAsia="仿宋_GB2312"/>
              </w:rPr>
              <w:t>文化建设</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AI可视化仿真学习系统</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360,000.00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2</w:t>
            </w:r>
          </w:p>
        </w:tc>
        <w:tc>
          <w:tcPr>
            <w:tcW w:type="dxa" w:w="3046"/>
          </w:tcPr>
          <w:p>
            <w:pPr>
              <w:pStyle w:val="null5"/>
              <w:jc w:val="left"/>
            </w:pPr>
            <w:r>
              <w:rPr>
                <w:rFonts w:ascii="仿宋_GB2312" w:hAnsi="仿宋_GB2312" w:cs="仿宋_GB2312" w:eastAsia="仿宋_GB2312"/>
              </w:rPr>
              <w:t>智能体应用开发教学资源</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3</w:t>
            </w:r>
          </w:p>
        </w:tc>
        <w:tc>
          <w:tcPr>
            <w:tcW w:type="dxa" w:w="3046"/>
          </w:tcPr>
          <w:p>
            <w:pPr>
              <w:pStyle w:val="null5"/>
              <w:jc w:val="left"/>
            </w:pPr>
            <w:r>
              <w:rPr>
                <w:rFonts w:ascii="仿宋_GB2312" w:hAnsi="仿宋_GB2312" w:cs="仿宋_GB2312" w:eastAsia="仿宋_GB2312"/>
              </w:rPr>
              <w:t>深度学习应用开发教学资源</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4</w:t>
            </w:r>
          </w:p>
        </w:tc>
        <w:tc>
          <w:tcPr>
            <w:tcW w:type="dxa" w:w="3046"/>
          </w:tcPr>
          <w:p>
            <w:pPr>
              <w:pStyle w:val="null5"/>
              <w:jc w:val="left"/>
            </w:pPr>
            <w:r>
              <w:rPr>
                <w:rFonts w:ascii="仿宋_GB2312" w:hAnsi="仿宋_GB2312" w:cs="仿宋_GB2312" w:eastAsia="仿宋_GB2312"/>
              </w:rPr>
              <w:t>自然语言应用开发教学资源</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5</w:t>
            </w:r>
          </w:p>
        </w:tc>
        <w:tc>
          <w:tcPr>
            <w:tcW w:type="dxa" w:w="3046"/>
          </w:tcPr>
          <w:p>
            <w:pPr>
              <w:pStyle w:val="null5"/>
              <w:jc w:val="left"/>
            </w:pPr>
            <w:r>
              <w:rPr>
                <w:rFonts w:ascii="仿宋_GB2312" w:hAnsi="仿宋_GB2312" w:cs="仿宋_GB2312" w:eastAsia="仿宋_GB2312"/>
              </w:rPr>
              <w:t>互动教学终端</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33,000.00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6</w:t>
            </w:r>
          </w:p>
        </w:tc>
        <w:tc>
          <w:tcPr>
            <w:tcW w:type="dxa" w:w="3046"/>
          </w:tcPr>
          <w:p>
            <w:pPr>
              <w:pStyle w:val="null5"/>
              <w:jc w:val="left"/>
            </w:pPr>
            <w:r>
              <w:rPr>
                <w:rFonts w:ascii="仿宋_GB2312" w:hAnsi="仿宋_GB2312" w:cs="仿宋_GB2312" w:eastAsia="仿宋_GB2312"/>
              </w:rPr>
              <w:t>交换机</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9,600.00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7</w:t>
            </w:r>
          </w:p>
        </w:tc>
        <w:tc>
          <w:tcPr>
            <w:tcW w:type="dxa" w:w="3046"/>
          </w:tcPr>
          <w:p>
            <w:pPr>
              <w:pStyle w:val="null5"/>
              <w:jc w:val="left"/>
            </w:pPr>
            <w:r>
              <w:rPr>
                <w:rFonts w:ascii="仿宋_GB2312" w:hAnsi="仿宋_GB2312" w:cs="仿宋_GB2312" w:eastAsia="仿宋_GB2312"/>
              </w:rPr>
              <w:t>企业级路由器</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5,400.00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8</w:t>
            </w:r>
          </w:p>
        </w:tc>
        <w:tc>
          <w:tcPr>
            <w:tcW w:type="dxa" w:w="3046"/>
          </w:tcPr>
          <w:p>
            <w:pPr>
              <w:pStyle w:val="null5"/>
              <w:jc w:val="left"/>
            </w:pPr>
            <w:r>
              <w:rPr>
                <w:rFonts w:ascii="仿宋_GB2312" w:hAnsi="仿宋_GB2312" w:cs="仿宋_GB2312" w:eastAsia="仿宋_GB2312"/>
              </w:rPr>
              <w:t>机柜</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1,950.00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9</w:t>
            </w:r>
          </w:p>
        </w:tc>
        <w:tc>
          <w:tcPr>
            <w:tcW w:type="dxa" w:w="3046"/>
          </w:tcPr>
          <w:p>
            <w:pPr>
              <w:pStyle w:val="null5"/>
              <w:jc w:val="left"/>
            </w:pPr>
            <w:r>
              <w:rPr>
                <w:rFonts w:ascii="仿宋_GB2312" w:hAnsi="仿宋_GB2312" w:cs="仿宋_GB2312" w:eastAsia="仿宋_GB2312"/>
              </w:rPr>
              <w:t>实训桌椅</w:t>
            </w:r>
          </w:p>
        </w:tc>
        <w:tc>
          <w:tcPr>
            <w:tcW w:type="dxa" w:w="554"/>
          </w:tcPr>
          <w:p>
            <w:pPr>
              <w:pStyle w:val="null5"/>
              <w:jc w:val="left"/>
            </w:pPr>
            <w:r>
              <w:rPr>
                <w:rFonts w:ascii="仿宋_GB2312" w:hAnsi="仿宋_GB2312" w:cs="仿宋_GB2312" w:eastAsia="仿宋_GB2312"/>
              </w:rPr>
              <w:t>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51,750.00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10</w:t>
            </w:r>
          </w:p>
        </w:tc>
        <w:tc>
          <w:tcPr>
            <w:tcW w:type="dxa" w:w="3046"/>
          </w:tcPr>
          <w:p>
            <w:pPr>
              <w:pStyle w:val="null5"/>
              <w:jc w:val="left"/>
            </w:pPr>
            <w:r>
              <w:rPr>
                <w:rFonts w:ascii="仿宋_GB2312" w:hAnsi="仿宋_GB2312" w:cs="仿宋_GB2312" w:eastAsia="仿宋_GB2312"/>
              </w:rPr>
              <w:t>显示系统</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22,000.00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11</w:t>
            </w:r>
          </w:p>
        </w:tc>
        <w:tc>
          <w:tcPr>
            <w:tcW w:type="dxa" w:w="3046"/>
          </w:tcPr>
          <w:p>
            <w:pPr>
              <w:pStyle w:val="null5"/>
              <w:jc w:val="left"/>
            </w:pPr>
            <w:r>
              <w:rPr>
                <w:rFonts w:ascii="仿宋_GB2312" w:hAnsi="仿宋_GB2312" w:cs="仿宋_GB2312" w:eastAsia="仿宋_GB2312"/>
              </w:rPr>
              <w:t>会议桌</w:t>
            </w:r>
          </w:p>
        </w:tc>
        <w:tc>
          <w:tcPr>
            <w:tcW w:type="dxa" w:w="554"/>
          </w:tcPr>
          <w:p>
            <w:pPr>
              <w:pStyle w:val="null5"/>
              <w:jc w:val="left"/>
            </w:pPr>
            <w:r>
              <w:rPr>
                <w:rFonts w:ascii="仿宋_GB2312" w:hAnsi="仿宋_GB2312" w:cs="仿宋_GB2312" w:eastAsia="仿宋_GB2312"/>
              </w:rPr>
              <w:t>张</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7,000.00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12</w:t>
            </w:r>
          </w:p>
        </w:tc>
        <w:tc>
          <w:tcPr>
            <w:tcW w:type="dxa" w:w="3046"/>
          </w:tcPr>
          <w:p>
            <w:pPr>
              <w:pStyle w:val="null5"/>
              <w:jc w:val="left"/>
            </w:pPr>
            <w:r>
              <w:rPr>
                <w:rFonts w:ascii="仿宋_GB2312" w:hAnsi="仿宋_GB2312" w:cs="仿宋_GB2312" w:eastAsia="仿宋_GB2312"/>
              </w:rPr>
              <w:t>网络中心机柜</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13</w:t>
            </w:r>
          </w:p>
        </w:tc>
        <w:tc>
          <w:tcPr>
            <w:tcW w:type="dxa" w:w="3046"/>
          </w:tcPr>
          <w:p>
            <w:pPr>
              <w:pStyle w:val="null5"/>
              <w:jc w:val="left"/>
            </w:pPr>
            <w:r>
              <w:rPr>
                <w:rFonts w:ascii="仿宋_GB2312" w:hAnsi="仿宋_GB2312" w:cs="仿宋_GB2312" w:eastAsia="仿宋_GB2312"/>
              </w:rPr>
              <w:t>业务交换机</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2,800.00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14</w:t>
            </w:r>
          </w:p>
        </w:tc>
        <w:tc>
          <w:tcPr>
            <w:tcW w:type="dxa" w:w="3046"/>
          </w:tcPr>
          <w:p>
            <w:pPr>
              <w:pStyle w:val="null5"/>
              <w:jc w:val="left"/>
            </w:pPr>
            <w:r>
              <w:rPr>
                <w:rFonts w:ascii="仿宋_GB2312" w:hAnsi="仿宋_GB2312" w:cs="仿宋_GB2312" w:eastAsia="仿宋_GB2312"/>
              </w:rPr>
              <w:t>环境改造</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99,500.00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r>
        <w:tc>
          <w:tcPr>
            <w:tcW w:type="dxa" w:w="346"/>
          </w:tcPr>
          <w:p>
            <w:pPr>
              <w:pStyle w:val="null5"/>
              <w:jc w:val="left"/>
            </w:pPr>
            <w:r>
              <w:rPr>
                <w:rFonts w:ascii="仿宋_GB2312" w:hAnsi="仿宋_GB2312" w:cs="仿宋_GB2312" w:eastAsia="仿宋_GB2312"/>
              </w:rPr>
              <w:t>15</w:t>
            </w:r>
          </w:p>
        </w:tc>
        <w:tc>
          <w:tcPr>
            <w:tcW w:type="dxa" w:w="3046"/>
          </w:tcPr>
          <w:p>
            <w:pPr>
              <w:pStyle w:val="null5"/>
              <w:jc w:val="left"/>
            </w:pPr>
            <w:r>
              <w:rPr>
                <w:rFonts w:ascii="仿宋_GB2312" w:hAnsi="仿宋_GB2312" w:cs="仿宋_GB2312" w:eastAsia="仿宋_GB2312"/>
              </w:rPr>
              <w:t>文化建设</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AI可视化仿真学习系统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AI可视化仿真学习系统</w:t>
            </w:r>
          </w:p>
        </w:tc>
        <w:tc>
          <w:tcPr>
            <w:tcW w:type="dxa" w:w="2076"/>
          </w:tcPr>
          <w:p>
            <w:pPr>
              <w:pStyle w:val="null5"/>
              <w:jc w:val="left"/>
            </w:pPr>
            <w:r>
              <w:rPr>
                <w:rFonts w:ascii="仿宋_GB2312" w:hAnsi="仿宋_GB2312" w:cs="仿宋_GB2312" w:eastAsia="仿宋_GB2312"/>
              </w:rPr>
              <w:t>AI可视化仿真学习系统</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360,000.00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智能体应用开发教学资源</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智能体应用开发教学资源</w:t>
            </w:r>
          </w:p>
        </w:tc>
        <w:tc>
          <w:tcPr>
            <w:tcW w:type="dxa" w:w="2076"/>
          </w:tcPr>
          <w:p>
            <w:pPr>
              <w:pStyle w:val="null5"/>
              <w:jc w:val="left"/>
            </w:pPr>
            <w:r>
              <w:rPr>
                <w:rFonts w:ascii="仿宋_GB2312" w:hAnsi="仿宋_GB2312" w:cs="仿宋_GB2312" w:eastAsia="仿宋_GB2312"/>
              </w:rPr>
              <w:t>智能体应用开发教学资源</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深度学习应用开发教学资源</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深度学习应用开发教学资源</w:t>
            </w:r>
          </w:p>
        </w:tc>
        <w:tc>
          <w:tcPr>
            <w:tcW w:type="dxa" w:w="2076"/>
          </w:tcPr>
          <w:p>
            <w:pPr>
              <w:pStyle w:val="null5"/>
              <w:jc w:val="left"/>
            </w:pPr>
            <w:r>
              <w:rPr>
                <w:rFonts w:ascii="仿宋_GB2312" w:hAnsi="仿宋_GB2312" w:cs="仿宋_GB2312" w:eastAsia="仿宋_GB2312"/>
              </w:rPr>
              <w:t>深度学习应用开发教学资源</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自然语言应用开发教学资源</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自然语言应用开发教学资源</w:t>
            </w:r>
          </w:p>
        </w:tc>
        <w:tc>
          <w:tcPr>
            <w:tcW w:type="dxa" w:w="2076"/>
          </w:tcPr>
          <w:p>
            <w:pPr>
              <w:pStyle w:val="null5"/>
              <w:jc w:val="left"/>
            </w:pPr>
            <w:r>
              <w:rPr>
                <w:rFonts w:ascii="仿宋_GB2312" w:hAnsi="仿宋_GB2312" w:cs="仿宋_GB2312" w:eastAsia="仿宋_GB2312"/>
              </w:rPr>
              <w:t>自然语言应用开发教学资源</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互动教学终端</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互动教学终端</w:t>
            </w:r>
          </w:p>
        </w:tc>
        <w:tc>
          <w:tcPr>
            <w:tcW w:type="dxa" w:w="2076"/>
          </w:tcPr>
          <w:p>
            <w:pPr>
              <w:pStyle w:val="null5"/>
              <w:jc w:val="left"/>
            </w:pPr>
            <w:r>
              <w:rPr>
                <w:rFonts w:ascii="仿宋_GB2312" w:hAnsi="仿宋_GB2312" w:cs="仿宋_GB2312" w:eastAsia="仿宋_GB2312"/>
              </w:rPr>
              <w:t>互动教学终端</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33,000.00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交换机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交换机</w:t>
            </w:r>
          </w:p>
        </w:tc>
        <w:tc>
          <w:tcPr>
            <w:tcW w:type="dxa" w:w="2076"/>
          </w:tcPr>
          <w:p>
            <w:pPr>
              <w:pStyle w:val="null5"/>
              <w:jc w:val="left"/>
            </w:pPr>
            <w:r>
              <w:rPr>
                <w:rFonts w:ascii="仿宋_GB2312" w:hAnsi="仿宋_GB2312" w:cs="仿宋_GB2312" w:eastAsia="仿宋_GB2312"/>
              </w:rPr>
              <w:t>交换机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9,600.00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企业级路由器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企业级路由器</w:t>
            </w:r>
          </w:p>
        </w:tc>
        <w:tc>
          <w:tcPr>
            <w:tcW w:type="dxa" w:w="2076"/>
          </w:tcPr>
          <w:p>
            <w:pPr>
              <w:pStyle w:val="null5"/>
              <w:jc w:val="left"/>
            </w:pPr>
            <w:r>
              <w:rPr>
                <w:rFonts w:ascii="仿宋_GB2312" w:hAnsi="仿宋_GB2312" w:cs="仿宋_GB2312" w:eastAsia="仿宋_GB2312"/>
              </w:rPr>
              <w:t>企业级路由器</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5,400.00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机柜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机柜</w:t>
            </w:r>
          </w:p>
        </w:tc>
        <w:tc>
          <w:tcPr>
            <w:tcW w:type="dxa" w:w="2076"/>
          </w:tcPr>
          <w:p>
            <w:pPr>
              <w:pStyle w:val="null5"/>
              <w:jc w:val="left"/>
            </w:pPr>
            <w:r>
              <w:rPr>
                <w:rFonts w:ascii="仿宋_GB2312" w:hAnsi="仿宋_GB2312" w:cs="仿宋_GB2312" w:eastAsia="仿宋_GB2312"/>
              </w:rPr>
              <w:t>机柜</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1,950.00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实训桌椅</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实训桌椅</w:t>
            </w:r>
          </w:p>
        </w:tc>
        <w:tc>
          <w:tcPr>
            <w:tcW w:type="dxa" w:w="2076"/>
          </w:tcPr>
          <w:p>
            <w:pPr>
              <w:pStyle w:val="null5"/>
              <w:jc w:val="left"/>
            </w:pPr>
            <w:r>
              <w:rPr>
                <w:rFonts w:ascii="仿宋_GB2312" w:hAnsi="仿宋_GB2312" w:cs="仿宋_GB2312" w:eastAsia="仿宋_GB2312"/>
              </w:rPr>
              <w:t>实训桌椅</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51,750.00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显示系统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显示系统</w:t>
            </w:r>
          </w:p>
        </w:tc>
        <w:tc>
          <w:tcPr>
            <w:tcW w:type="dxa" w:w="2076"/>
          </w:tcPr>
          <w:p>
            <w:pPr>
              <w:pStyle w:val="null5"/>
              <w:jc w:val="left"/>
            </w:pPr>
            <w:r>
              <w:rPr>
                <w:rFonts w:ascii="仿宋_GB2312" w:hAnsi="仿宋_GB2312" w:cs="仿宋_GB2312" w:eastAsia="仿宋_GB2312"/>
              </w:rPr>
              <w:t>显示系统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22,000.00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会议桌</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会议桌</w:t>
            </w:r>
          </w:p>
        </w:tc>
        <w:tc>
          <w:tcPr>
            <w:tcW w:type="dxa" w:w="2076"/>
          </w:tcPr>
          <w:p>
            <w:pPr>
              <w:pStyle w:val="null5"/>
              <w:jc w:val="left"/>
            </w:pPr>
            <w:r>
              <w:rPr>
                <w:rFonts w:ascii="仿宋_GB2312" w:hAnsi="仿宋_GB2312" w:cs="仿宋_GB2312" w:eastAsia="仿宋_GB2312"/>
              </w:rPr>
              <w:t>会议桌</w:t>
            </w:r>
          </w:p>
        </w:tc>
        <w:tc>
          <w:tcPr>
            <w:tcW w:type="dxa" w:w="415"/>
          </w:tcPr>
          <w:p>
            <w:pPr>
              <w:pStyle w:val="null5"/>
              <w:jc w:val="left"/>
            </w:pPr>
            <w:r>
              <w:rPr>
                <w:rFonts w:ascii="仿宋_GB2312" w:hAnsi="仿宋_GB2312" w:cs="仿宋_GB2312" w:eastAsia="仿宋_GB2312"/>
              </w:rPr>
              <w:t>张</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网络中心机柜</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网络中心机柜</w:t>
            </w:r>
          </w:p>
        </w:tc>
        <w:tc>
          <w:tcPr>
            <w:tcW w:type="dxa" w:w="2076"/>
          </w:tcPr>
          <w:p>
            <w:pPr>
              <w:pStyle w:val="null5"/>
              <w:jc w:val="left"/>
            </w:pPr>
            <w:r>
              <w:rPr>
                <w:rFonts w:ascii="仿宋_GB2312" w:hAnsi="仿宋_GB2312" w:cs="仿宋_GB2312" w:eastAsia="仿宋_GB2312"/>
              </w:rPr>
              <w:t>网络中心机柜</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业务交换机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业务交换机</w:t>
            </w:r>
          </w:p>
        </w:tc>
        <w:tc>
          <w:tcPr>
            <w:tcW w:type="dxa" w:w="2076"/>
          </w:tcPr>
          <w:p>
            <w:pPr>
              <w:pStyle w:val="null5"/>
              <w:jc w:val="left"/>
            </w:pPr>
            <w:r>
              <w:rPr>
                <w:rFonts w:ascii="仿宋_GB2312" w:hAnsi="仿宋_GB2312" w:cs="仿宋_GB2312" w:eastAsia="仿宋_GB2312"/>
              </w:rPr>
              <w:t>业务交换机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2,800.00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环境改造</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环境改造</w:t>
            </w:r>
          </w:p>
        </w:tc>
        <w:tc>
          <w:tcPr>
            <w:tcW w:type="dxa" w:w="2076"/>
          </w:tcPr>
          <w:p>
            <w:pPr>
              <w:pStyle w:val="null5"/>
              <w:jc w:val="left"/>
            </w:pPr>
            <w:r>
              <w:rPr>
                <w:rFonts w:ascii="仿宋_GB2312" w:hAnsi="仿宋_GB2312" w:cs="仿宋_GB2312" w:eastAsia="仿宋_GB2312"/>
              </w:rPr>
              <w:t>环境改造</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99,500.00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文化建设</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文化建设</w:t>
            </w:r>
          </w:p>
        </w:tc>
        <w:tc>
          <w:tcPr>
            <w:tcW w:type="dxa" w:w="2076"/>
          </w:tcPr>
          <w:p>
            <w:pPr>
              <w:pStyle w:val="null5"/>
              <w:jc w:val="left"/>
            </w:pPr>
            <w:r>
              <w:rPr>
                <w:rFonts w:ascii="仿宋_GB2312" w:hAnsi="仿宋_GB2312" w:cs="仿宋_GB2312" w:eastAsia="仿宋_GB2312"/>
              </w:rPr>
              <w:t>文化建设</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AI可视化仿真学习系统</w:t>
            </w:r>
          </w:p>
        </w:tc>
        <w:tc>
          <w:tcPr>
            <w:tcW w:type="dxa" w:w="2492"/>
          </w:tcPr>
          <w:p>
            <w:pPr>
              <w:pStyle w:val="null5"/>
              <w:jc w:val="left"/>
            </w:pPr>
            <w:r>
              <w:rPr>
                <w:rFonts w:ascii="仿宋_GB2312" w:hAnsi="仿宋_GB2312" w:cs="仿宋_GB2312" w:eastAsia="仿宋_GB2312"/>
              </w:rPr>
              <w:t>AI可视化仿真学习系统</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互动教学终端</w:t>
            </w:r>
          </w:p>
        </w:tc>
        <w:tc>
          <w:tcPr>
            <w:tcW w:type="dxa" w:w="2492"/>
          </w:tcPr>
          <w:p>
            <w:pPr>
              <w:pStyle w:val="null5"/>
              <w:jc w:val="left"/>
            </w:pPr>
            <w:r>
              <w:rPr>
                <w:rFonts w:ascii="仿宋_GB2312" w:hAnsi="仿宋_GB2312" w:cs="仿宋_GB2312" w:eastAsia="仿宋_GB2312"/>
              </w:rPr>
              <w:t>互动教学终端</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教学仪器</w:t>
            </w:r>
          </w:p>
        </w:tc>
        <w:tc>
          <w:tcPr>
            <w:tcW w:type="dxa" w:w="2492"/>
          </w:tcPr>
          <w:p>
            <w:pPr>
              <w:pStyle w:val="null5"/>
              <w:jc w:val="left"/>
            </w:pPr>
            <w:r>
              <w:rPr>
                <w:rFonts w:ascii="仿宋_GB2312" w:hAnsi="仿宋_GB2312" w:cs="仿宋_GB2312" w:eastAsia="仿宋_GB2312"/>
              </w:rPr>
              <w:t>显示系统</w:t>
            </w:r>
          </w:p>
        </w:tc>
        <w:tc>
          <w:tcPr>
            <w:tcW w:type="dxa" w:w="2492"/>
          </w:tcPr>
          <w:p>
            <w:pPr>
              <w:pStyle w:val="null5"/>
              <w:jc w:val="left"/>
            </w:pPr>
            <w:r>
              <w:rPr>
                <w:rFonts w:ascii="仿宋_GB2312" w:hAnsi="仿宋_GB2312" w:cs="仿宋_GB2312" w:eastAsia="仿宋_GB2312"/>
              </w:rPr>
              <w:t>显示系统</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标的名称：AI可视化仿真学习系统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基础底座平台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平台采用B/S架构，包括学生端、管理端。</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底座平台：主要包括图谱应用平台、课程学习平台、数字教材平台、AI服务引擎。</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图谱应用平台：</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图谱模式：图谱包含岗位图谱、课程图谱以及全节点图谱，可自由切换以不同维度进行展示。（需提供相应功能的截图及相应证明材料）</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支持图谱岗位的搜索筛选</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岗位图谱功能：</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2.3.1</w:t>
            </w:r>
          </w:p>
        </w:tc>
        <w:tc>
          <w:tcPr>
            <w:tcW w:type="dxa" w:w="2076"/>
          </w:tcPr>
          <w:p>
            <w:pPr>
              <w:pStyle w:val="null5"/>
              <w:jc w:val="left"/>
            </w:pPr>
            <w:r>
              <w:rPr>
                <w:rFonts w:ascii="仿宋_GB2312" w:hAnsi="仿宋_GB2312" w:cs="仿宋_GB2312" w:eastAsia="仿宋_GB2312"/>
              </w:rPr>
              <w:t>可以查看专业、岗位以及岗位对应的相关能力要素关联信息</w:t>
            </w:r>
          </w:p>
        </w:tc>
      </w:tr>
      <w:tr>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2.3.2</w:t>
            </w:r>
          </w:p>
        </w:tc>
        <w:tc>
          <w:tcPr>
            <w:tcW w:type="dxa" w:w="2076"/>
          </w:tcPr>
          <w:p>
            <w:pPr>
              <w:pStyle w:val="null5"/>
              <w:jc w:val="left"/>
            </w:pPr>
            <w:r>
              <w:rPr>
                <w:rFonts w:ascii="仿宋_GB2312" w:hAnsi="仿宋_GB2312" w:cs="仿宋_GB2312" w:eastAsia="仿宋_GB2312"/>
              </w:rPr>
              <w:t>可以查看节点关联的课程中详细课程资源以及对应学习进度</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2.3.3</w:t>
            </w:r>
          </w:p>
        </w:tc>
        <w:tc>
          <w:tcPr>
            <w:tcW w:type="dxa" w:w="2076"/>
          </w:tcPr>
          <w:p>
            <w:pPr>
              <w:pStyle w:val="null5"/>
              <w:jc w:val="left"/>
            </w:pPr>
            <w:r>
              <w:rPr>
                <w:rFonts w:ascii="仿宋_GB2312" w:hAnsi="仿宋_GB2312" w:cs="仿宋_GB2312" w:eastAsia="仿宋_GB2312"/>
              </w:rPr>
              <w:t>可对图谱进行缩放并能手动拖拽图谱及节点进行交互</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2.3.4</w:t>
            </w:r>
          </w:p>
        </w:tc>
        <w:tc>
          <w:tcPr>
            <w:tcW w:type="dxa" w:w="2076"/>
          </w:tcPr>
          <w:p>
            <w:pPr>
              <w:pStyle w:val="null5"/>
              <w:jc w:val="left"/>
            </w:pPr>
            <w:r>
              <w:rPr>
                <w:rFonts w:ascii="仿宋_GB2312" w:hAnsi="仿宋_GB2312" w:cs="仿宋_GB2312" w:eastAsia="仿宋_GB2312"/>
              </w:rPr>
              <w:t>支持统计所有已配置岗位下选择该岗位的学生对本岗位知识点的学习掌握情况</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2.3.5</w:t>
            </w:r>
          </w:p>
        </w:tc>
        <w:tc>
          <w:tcPr>
            <w:tcW w:type="dxa" w:w="2076"/>
          </w:tcPr>
          <w:p>
            <w:pPr>
              <w:pStyle w:val="null5"/>
              <w:jc w:val="left"/>
            </w:pPr>
            <w:r>
              <w:rPr>
                <w:rFonts w:ascii="仿宋_GB2312" w:hAnsi="仿宋_GB2312" w:cs="仿宋_GB2312" w:eastAsia="仿宋_GB2312"/>
              </w:rPr>
              <w:t>课程图谱：在课程学习平台中构建从课程到章节以及关联知识或技能的课程图谱。</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2.3.6</w:t>
            </w:r>
          </w:p>
        </w:tc>
        <w:tc>
          <w:tcPr>
            <w:tcW w:type="dxa" w:w="2076"/>
          </w:tcPr>
          <w:p>
            <w:pPr>
              <w:pStyle w:val="null5"/>
              <w:jc w:val="left"/>
            </w:pPr>
            <w:r>
              <w:rPr>
                <w:rFonts w:ascii="仿宋_GB2312" w:hAnsi="仿宋_GB2312" w:cs="仿宋_GB2312" w:eastAsia="仿宋_GB2312"/>
              </w:rPr>
              <w:t>个性化学习路径：根据岗位要求，通过AI算法构建个性化学习路径，用户可以按照学习路径上的资源进行学习，并能实时统计学习进度。</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课程学习平台</w:t>
            </w:r>
          </w:p>
        </w:tc>
      </w:tr>
      <w:tr>
        <w:tc>
          <w:tcPr>
            <w:tcW w:type="dxa" w:w="2076"/>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课程图谱：用户可以按照章节关联技能点，构建课程图谱，学生可以在课程详情页查看具体的课程图谱。</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具备实时答题互动功能：观看课程视频过程可进行答题互动。</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具备学习轨迹监控功能，在对应的点播课程中可查看班级观看表及每个章节的观看详情。</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具备反刍比分析功能，可具体分析出学生重复观看视频的章节以及原因。</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3.5</w:t>
            </w:r>
          </w:p>
        </w:tc>
        <w:tc>
          <w:tcPr>
            <w:tcW w:type="dxa" w:w="2076"/>
          </w:tcPr>
          <w:p>
            <w:pPr>
              <w:pStyle w:val="null5"/>
              <w:jc w:val="left"/>
            </w:pPr>
            <w:r>
              <w:rPr>
                <w:rFonts w:ascii="仿宋_GB2312" w:hAnsi="仿宋_GB2312" w:cs="仿宋_GB2312" w:eastAsia="仿宋_GB2312"/>
              </w:rPr>
              <w:t>具备学生观看视频控制功能：支持未观看的视频不能快进、焦点移除视频播放界面视频自动暂停。</w:t>
            </w:r>
          </w:p>
        </w:tc>
      </w:tr>
      <w:tr>
        <w:tc>
          <w:tcPr>
            <w:tcW w:type="dxa" w:w="2076"/>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3.6</w:t>
            </w:r>
          </w:p>
        </w:tc>
        <w:tc>
          <w:tcPr>
            <w:tcW w:type="dxa" w:w="2076"/>
          </w:tcPr>
          <w:p>
            <w:pPr>
              <w:pStyle w:val="null5"/>
              <w:jc w:val="left"/>
            </w:pPr>
            <w:r>
              <w:rPr>
                <w:rFonts w:ascii="仿宋_GB2312" w:hAnsi="仿宋_GB2312" w:cs="仿宋_GB2312" w:eastAsia="仿宋_GB2312"/>
              </w:rPr>
              <w:t>提供学情分析数据看板，包含在线课程点播实时热力图、波形图、播放量、在线人数、热门课程等信息。（需提供相应功能的截图及相应证明材料）</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3.7</w:t>
            </w:r>
          </w:p>
        </w:tc>
        <w:tc>
          <w:tcPr>
            <w:tcW w:type="dxa" w:w="2076"/>
          </w:tcPr>
          <w:p>
            <w:pPr>
              <w:pStyle w:val="null5"/>
              <w:jc w:val="left"/>
            </w:pPr>
            <w:r>
              <w:rPr>
                <w:rFonts w:ascii="仿宋_GB2312" w:hAnsi="仿宋_GB2312" w:cs="仿宋_GB2312" w:eastAsia="仿宋_GB2312"/>
              </w:rPr>
              <w:t>班级视频观看率统计，根据需求条件查看并导出班级视频观看率数据。</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3.8</w:t>
            </w:r>
          </w:p>
        </w:tc>
        <w:tc>
          <w:tcPr>
            <w:tcW w:type="dxa" w:w="2076"/>
          </w:tcPr>
          <w:p>
            <w:pPr>
              <w:pStyle w:val="null5"/>
              <w:jc w:val="left"/>
            </w:pPr>
            <w:r>
              <w:rPr>
                <w:rFonts w:ascii="仿宋_GB2312" w:hAnsi="仿宋_GB2312" w:cs="仿宋_GB2312" w:eastAsia="仿宋_GB2312"/>
              </w:rPr>
              <w:t>访问信息统计：根据需求条件查看并导出访问信息统计数据。</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数字教材平台</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4.1</w:t>
            </w:r>
          </w:p>
        </w:tc>
        <w:tc>
          <w:tcPr>
            <w:tcW w:type="dxa" w:w="2076"/>
          </w:tcPr>
          <w:p>
            <w:pPr>
              <w:pStyle w:val="null5"/>
              <w:jc w:val="left"/>
            </w:pPr>
            <w:r>
              <w:rPr>
                <w:rFonts w:ascii="仿宋_GB2312" w:hAnsi="仿宋_GB2312" w:cs="仿宋_GB2312" w:eastAsia="仿宋_GB2312"/>
              </w:rPr>
              <w:t>支持数字教材分板块展示。</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4.2</w:t>
            </w:r>
          </w:p>
        </w:tc>
        <w:tc>
          <w:tcPr>
            <w:tcW w:type="dxa" w:w="2076"/>
          </w:tcPr>
          <w:p>
            <w:pPr>
              <w:pStyle w:val="null5"/>
              <w:jc w:val="left"/>
            </w:pPr>
            <w:r>
              <w:rPr>
                <w:rFonts w:ascii="仿宋_GB2312" w:hAnsi="仿宋_GB2312" w:cs="仿宋_GB2312" w:eastAsia="仿宋_GB2312"/>
              </w:rPr>
              <w:t>支持展示建设中的校本教材。</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4.3</w:t>
            </w:r>
          </w:p>
        </w:tc>
        <w:tc>
          <w:tcPr>
            <w:tcW w:type="dxa" w:w="2076"/>
          </w:tcPr>
          <w:p>
            <w:pPr>
              <w:pStyle w:val="null5"/>
              <w:jc w:val="left"/>
            </w:pPr>
            <w:r>
              <w:rPr>
                <w:rFonts w:ascii="仿宋_GB2312" w:hAnsi="仿宋_GB2312" w:cs="仿宋_GB2312" w:eastAsia="仿宋_GB2312"/>
              </w:rPr>
              <w:t>支持首页显示校本教材封面、名称等信息。</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4.4</w:t>
            </w:r>
          </w:p>
        </w:tc>
        <w:tc>
          <w:tcPr>
            <w:tcW w:type="dxa" w:w="2076"/>
          </w:tcPr>
          <w:p>
            <w:pPr>
              <w:pStyle w:val="null5"/>
              <w:jc w:val="left"/>
            </w:pPr>
            <w:r>
              <w:rPr>
                <w:rFonts w:ascii="仿宋_GB2312" w:hAnsi="仿宋_GB2312" w:cs="仿宋_GB2312" w:eastAsia="仿宋_GB2312"/>
              </w:rPr>
              <w:t>支持跳转教材门户详情界面，展示教材开发进度。</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4.5</w:t>
            </w:r>
          </w:p>
        </w:tc>
        <w:tc>
          <w:tcPr>
            <w:tcW w:type="dxa" w:w="2076"/>
          </w:tcPr>
          <w:p>
            <w:pPr>
              <w:pStyle w:val="null5"/>
              <w:jc w:val="left"/>
            </w:pPr>
            <w:r>
              <w:rPr>
                <w:rFonts w:ascii="仿宋_GB2312" w:hAnsi="仿宋_GB2312" w:cs="仿宋_GB2312" w:eastAsia="仿宋_GB2312"/>
              </w:rPr>
              <w:t>系统支持分布式部署，满足万人同时在线学习。</w:t>
            </w:r>
          </w:p>
        </w:tc>
      </w:tr>
      <w:tr>
        <w:tc>
          <w:tcPr>
            <w:tcW w:type="dxa" w:w="2076"/>
          </w:tcPr>
          <w:p>
            <w:pPr>
              <w:pStyle w:val="null5"/>
              <w:jc w:val="left"/>
            </w:pPr>
            <w:r>
              <w:rPr>
                <w:rFonts w:ascii="仿宋_GB2312" w:hAnsi="仿宋_GB2312" w:cs="仿宋_GB2312" w:eastAsia="仿宋_GB2312"/>
              </w:rPr>
              <w:t>29</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4.6</w:t>
            </w:r>
          </w:p>
        </w:tc>
        <w:tc>
          <w:tcPr>
            <w:tcW w:type="dxa" w:w="2076"/>
          </w:tcPr>
          <w:p>
            <w:pPr>
              <w:pStyle w:val="null5"/>
              <w:jc w:val="left"/>
            </w:pPr>
            <w:r>
              <w:rPr>
                <w:rFonts w:ascii="仿宋_GB2312" w:hAnsi="仿宋_GB2312" w:cs="仿宋_GB2312" w:eastAsia="仿宋_GB2312"/>
              </w:rPr>
              <w:t>包含数字教材编辑系统、数字教材阅读器。</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4.7</w:t>
            </w:r>
          </w:p>
        </w:tc>
        <w:tc>
          <w:tcPr>
            <w:tcW w:type="dxa" w:w="2076"/>
          </w:tcPr>
          <w:p>
            <w:pPr>
              <w:pStyle w:val="null5"/>
              <w:jc w:val="left"/>
            </w:pPr>
            <w:r>
              <w:rPr>
                <w:rFonts w:ascii="仿宋_GB2312" w:hAnsi="仿宋_GB2312" w:cs="仿宋_GB2312" w:eastAsia="仿宋_GB2312"/>
              </w:rPr>
              <w:t>数字教材编辑系统</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4.7.1</w:t>
            </w:r>
          </w:p>
        </w:tc>
        <w:tc>
          <w:tcPr>
            <w:tcW w:type="dxa" w:w="2076"/>
          </w:tcPr>
          <w:p>
            <w:pPr>
              <w:pStyle w:val="null5"/>
              <w:jc w:val="left"/>
            </w:pPr>
            <w:r>
              <w:rPr>
                <w:rFonts w:ascii="仿宋_GB2312" w:hAnsi="仿宋_GB2312" w:cs="仿宋_GB2312" w:eastAsia="仿宋_GB2312"/>
              </w:rPr>
              <w:t>可实现教材章节目录的搭建和导入，支持按章节建设能承载各种富媒体的知识单元。</w:t>
            </w:r>
          </w:p>
        </w:tc>
      </w:tr>
      <w:tr>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4.7.2</w:t>
            </w:r>
          </w:p>
        </w:tc>
        <w:tc>
          <w:tcPr>
            <w:tcW w:type="dxa" w:w="2076"/>
          </w:tcPr>
          <w:p>
            <w:pPr>
              <w:pStyle w:val="null5"/>
              <w:jc w:val="left"/>
            </w:pPr>
            <w:r>
              <w:rPr>
                <w:rFonts w:ascii="仿宋_GB2312" w:hAnsi="仿宋_GB2312" w:cs="仿宋_GB2312" w:eastAsia="仿宋_GB2312"/>
              </w:rPr>
              <w:t>支持插入各种资源类型：至少包含文字、视频、音频、图片、公式、试题、讨论、网页、动画、3D 模型等。 试题支持插入单选、多选、填空、简答题、连线题、口语题、组合题等多种题型。试题编辑页面有智能导入功能，可成段导入单选题、多选题、填空题、判断题、简答题、组合题、完形填空等题型，且支持文本、图片、公式。题目结构支持识别答案解析、难易度、知识点。提供可下载的推荐格式范例。（需提供相应功能的截图及相应证明材料）</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4.7.3</w:t>
            </w:r>
          </w:p>
        </w:tc>
        <w:tc>
          <w:tcPr>
            <w:tcW w:type="dxa" w:w="2076"/>
          </w:tcPr>
          <w:p>
            <w:pPr>
              <w:pStyle w:val="null5"/>
              <w:jc w:val="left"/>
            </w:pPr>
            <w:r>
              <w:rPr>
                <w:rFonts w:ascii="仿宋_GB2312" w:hAnsi="仿宋_GB2312" w:cs="仿宋_GB2312" w:eastAsia="仿宋_GB2312"/>
              </w:rPr>
              <w:t>支持预览电脑端教材效果，支持对文字、图片和视频内容进行审核（如涉黄、涉暴、政治敏感 涉恐等）</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4.7.4</w:t>
            </w:r>
          </w:p>
        </w:tc>
        <w:tc>
          <w:tcPr>
            <w:tcW w:type="dxa" w:w="2076"/>
          </w:tcPr>
          <w:p>
            <w:pPr>
              <w:pStyle w:val="null5"/>
              <w:jc w:val="left"/>
            </w:pPr>
            <w:r>
              <w:rPr>
                <w:rFonts w:ascii="仿宋_GB2312" w:hAnsi="仿宋_GB2312" w:cs="仿宋_GB2312" w:eastAsia="仿宋_GB2312"/>
              </w:rPr>
              <w:t>支持搜索任意文字内容，支持 多种批注功能并可用批注定位，支持对数字教材中各类型文字、图片、互动 内容进行分类统计。</w:t>
            </w:r>
          </w:p>
        </w:tc>
      </w:tr>
      <w:tr>
        <w:tc>
          <w:tcPr>
            <w:tcW w:type="dxa" w:w="2076"/>
          </w:tcPr>
          <w:p>
            <w:pPr>
              <w:pStyle w:val="null5"/>
              <w:jc w:val="left"/>
            </w:pPr>
            <w:r>
              <w:rPr>
                <w:rFonts w:ascii="仿宋_GB2312" w:hAnsi="仿宋_GB2312" w:cs="仿宋_GB2312" w:eastAsia="仿宋_GB2312"/>
              </w:rPr>
              <w:t>35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4.7.5</w:t>
            </w:r>
          </w:p>
        </w:tc>
        <w:tc>
          <w:tcPr>
            <w:tcW w:type="dxa" w:w="2076"/>
          </w:tcPr>
          <w:p>
            <w:pPr>
              <w:pStyle w:val="null5"/>
              <w:jc w:val="left"/>
            </w:pPr>
            <w:r>
              <w:rPr>
                <w:rFonts w:ascii="仿宋_GB2312" w:hAnsi="仿宋_GB2312" w:cs="仿宋_GB2312" w:eastAsia="仿宋_GB2312"/>
              </w:rPr>
              <w:t>支持在线编辑表格、文本框、图片、形状、图标、图形、图表、公式、音频、视频、网页、交互元素，能选择模板，统一字体， 自动配色，支持课堂互动、微课视频、作业库、3D 模型等。（需提供相应功能的截图及相应证明材料）</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4.7.6</w:t>
            </w:r>
          </w:p>
        </w:tc>
        <w:tc>
          <w:tcPr>
            <w:tcW w:type="dxa" w:w="2076"/>
          </w:tcPr>
          <w:p>
            <w:pPr>
              <w:pStyle w:val="null5"/>
              <w:jc w:val="left"/>
            </w:pPr>
            <w:r>
              <w:rPr>
                <w:rFonts w:ascii="仿宋_GB2312" w:hAnsi="仿宋_GB2312" w:cs="仿宋_GB2312" w:eastAsia="仿宋_GB2312"/>
              </w:rPr>
              <w:t>可编辑在线测试试卷：可编辑常见题型，所有已编辑试题可进入默认试题库。</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4.8</w:t>
            </w:r>
          </w:p>
        </w:tc>
        <w:tc>
          <w:tcPr>
            <w:tcW w:type="dxa" w:w="2076"/>
          </w:tcPr>
          <w:p>
            <w:pPr>
              <w:pStyle w:val="null5"/>
              <w:jc w:val="left"/>
            </w:pPr>
            <w:r>
              <w:rPr>
                <w:rFonts w:ascii="仿宋_GB2312" w:hAnsi="仿宋_GB2312" w:cs="仿宋_GB2312" w:eastAsia="仿宋_GB2312"/>
              </w:rPr>
              <w:t>数字教材阅读器</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4.8.1</w:t>
            </w:r>
          </w:p>
        </w:tc>
        <w:tc>
          <w:tcPr>
            <w:tcW w:type="dxa" w:w="2076"/>
          </w:tcPr>
          <w:p>
            <w:pPr>
              <w:pStyle w:val="null5"/>
              <w:jc w:val="left"/>
            </w:pPr>
            <w:r>
              <w:rPr>
                <w:rFonts w:ascii="仿宋_GB2312" w:hAnsi="仿宋_GB2312" w:cs="仿宋_GB2312" w:eastAsia="仿宋_GB2312"/>
              </w:rPr>
              <w:t>可支持浏览器端进行使用。</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4.8.2</w:t>
            </w:r>
          </w:p>
        </w:tc>
        <w:tc>
          <w:tcPr>
            <w:tcW w:type="dxa" w:w="2076"/>
          </w:tcPr>
          <w:p>
            <w:pPr>
              <w:pStyle w:val="null5"/>
              <w:jc w:val="left"/>
            </w:pPr>
            <w:r>
              <w:rPr>
                <w:rFonts w:ascii="仿宋_GB2312" w:hAnsi="仿宋_GB2312" w:cs="仿宋_GB2312" w:eastAsia="仿宋_GB2312"/>
              </w:rPr>
              <w:t>支持在教材中观看交互式课件，多媒体资源学习，可互动。</w:t>
            </w:r>
          </w:p>
        </w:tc>
      </w:tr>
      <w:tr>
        <w:tc>
          <w:tcPr>
            <w:tcW w:type="dxa" w:w="2076"/>
          </w:tcPr>
          <w:p>
            <w:pPr>
              <w:pStyle w:val="null5"/>
              <w:jc w:val="left"/>
            </w:pPr>
            <w:r>
              <w:rPr>
                <w:rFonts w:ascii="仿宋_GB2312" w:hAnsi="仿宋_GB2312" w:cs="仿宋_GB2312" w:eastAsia="仿宋_GB2312"/>
              </w:rPr>
              <w:t>40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4.8.3</w:t>
            </w:r>
          </w:p>
        </w:tc>
        <w:tc>
          <w:tcPr>
            <w:tcW w:type="dxa" w:w="2076"/>
          </w:tcPr>
          <w:p>
            <w:pPr>
              <w:pStyle w:val="null5"/>
              <w:jc w:val="left"/>
            </w:pPr>
            <w:r>
              <w:rPr>
                <w:rFonts w:ascii="仿宋_GB2312" w:hAnsi="仿宋_GB2312" w:cs="仿宋_GB2312" w:eastAsia="仿宋_GB2312"/>
              </w:rPr>
              <w:t>教材中支持图片、动图、视频、音频、网页、代码、注释、引用、表格、三维模型、latex公式、高亮块、代码块、流程图、思维导图等。（需提供相应功能的截图及相应证明材料）</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4.8.4</w:t>
            </w:r>
          </w:p>
        </w:tc>
        <w:tc>
          <w:tcPr>
            <w:tcW w:type="dxa" w:w="2076"/>
          </w:tcPr>
          <w:p>
            <w:pPr>
              <w:pStyle w:val="null5"/>
              <w:jc w:val="left"/>
            </w:pPr>
            <w:r>
              <w:rPr>
                <w:rFonts w:ascii="仿宋_GB2312" w:hAnsi="仿宋_GB2312" w:cs="仿宋_GB2312" w:eastAsia="仿宋_GB2312"/>
              </w:rPr>
              <w:t>支持多色笔记，支持发布疑问式笔记，可定位正文相应位置。</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4.8.5</w:t>
            </w:r>
          </w:p>
        </w:tc>
        <w:tc>
          <w:tcPr>
            <w:tcW w:type="dxa" w:w="2076"/>
          </w:tcPr>
          <w:p>
            <w:pPr>
              <w:pStyle w:val="null5"/>
              <w:jc w:val="left"/>
            </w:pPr>
            <w:r>
              <w:rPr>
                <w:rFonts w:ascii="仿宋_GB2312" w:hAnsi="仿宋_GB2312" w:cs="仿宋_GB2312" w:eastAsia="仿宋_GB2312"/>
              </w:rPr>
              <w:t>支持三维模型的虚拟仿真实验嵌入，手动操作缩放。</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4.8.6</w:t>
            </w:r>
          </w:p>
        </w:tc>
        <w:tc>
          <w:tcPr>
            <w:tcW w:type="dxa" w:w="2076"/>
          </w:tcPr>
          <w:p>
            <w:pPr>
              <w:pStyle w:val="null5"/>
              <w:jc w:val="left"/>
            </w:pPr>
            <w:r>
              <w:rPr>
                <w:rFonts w:ascii="仿宋_GB2312" w:hAnsi="仿宋_GB2312" w:cs="仿宋_GB2312" w:eastAsia="仿宋_GB2312"/>
              </w:rPr>
              <w:t>支持常规作业布置和回答，以及常规测试，包括选择、填空、判断、简答等题型。</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实训系统</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实训学生端：包含在线实训模块</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5.2</w:t>
            </w:r>
          </w:p>
        </w:tc>
        <w:tc>
          <w:tcPr>
            <w:tcW w:type="dxa" w:w="2076"/>
          </w:tcPr>
          <w:p>
            <w:pPr>
              <w:pStyle w:val="null5"/>
              <w:jc w:val="left"/>
            </w:pPr>
            <w:r>
              <w:rPr>
                <w:rFonts w:ascii="仿宋_GB2312" w:hAnsi="仿宋_GB2312" w:cs="仿宋_GB2312" w:eastAsia="仿宋_GB2312"/>
              </w:rPr>
              <w:t>在线实训：基于线上虚拟环境进行线上实训。</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5.2.1</w:t>
            </w:r>
          </w:p>
        </w:tc>
        <w:tc>
          <w:tcPr>
            <w:tcW w:type="dxa" w:w="2076"/>
          </w:tcPr>
          <w:p>
            <w:pPr>
              <w:pStyle w:val="null5"/>
              <w:jc w:val="left"/>
            </w:pPr>
            <w:r>
              <w:rPr>
                <w:rFonts w:ascii="仿宋_GB2312" w:hAnsi="仿宋_GB2312" w:cs="仿宋_GB2312" w:eastAsia="仿宋_GB2312"/>
              </w:rPr>
              <w:t>预约实训：系统提供实训预约功能，用户可自主选择日期和时间段预约实训项目，系统可支持预约未来 7 天的时段。</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5.2.2</w:t>
            </w:r>
          </w:p>
        </w:tc>
        <w:tc>
          <w:tcPr>
            <w:tcW w:type="dxa" w:w="2076"/>
          </w:tcPr>
          <w:p>
            <w:pPr>
              <w:pStyle w:val="null5"/>
              <w:jc w:val="left"/>
            </w:pPr>
            <w:r>
              <w:rPr>
                <w:rFonts w:ascii="仿宋_GB2312" w:hAnsi="仿宋_GB2312" w:cs="仿宋_GB2312" w:eastAsia="仿宋_GB2312"/>
              </w:rPr>
              <w:t>按需配置：预约界面展示可预约时段、预约人数限制等信息，用户可进行筛选与决策。</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5.2.3</w:t>
            </w:r>
          </w:p>
        </w:tc>
        <w:tc>
          <w:tcPr>
            <w:tcW w:type="dxa" w:w="2076"/>
          </w:tcPr>
          <w:p>
            <w:pPr>
              <w:pStyle w:val="null5"/>
              <w:jc w:val="left"/>
            </w:pPr>
            <w:r>
              <w:rPr>
                <w:rFonts w:ascii="仿宋_GB2312" w:hAnsi="仿宋_GB2312" w:cs="仿宋_GB2312" w:eastAsia="仿宋_GB2312"/>
              </w:rPr>
              <w:t>取消实训：系统支持用户在开始实训前随时取消实训项目，释放系统资源。</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5.2.4</w:t>
            </w:r>
          </w:p>
        </w:tc>
        <w:tc>
          <w:tcPr>
            <w:tcW w:type="dxa" w:w="2076"/>
          </w:tcPr>
          <w:p>
            <w:pPr>
              <w:pStyle w:val="null5"/>
              <w:jc w:val="left"/>
            </w:pPr>
            <w:r>
              <w:rPr>
                <w:rFonts w:ascii="仿宋_GB2312" w:hAnsi="仿宋_GB2312" w:cs="仿宋_GB2312" w:eastAsia="仿宋_GB2312"/>
              </w:rPr>
              <w:t>扩展实训：平台具备开放性与兼容性，可支持教学课程二次开发，支持第三方实训项目接入理实一体化数字平台。</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5.2.5</w:t>
            </w:r>
          </w:p>
        </w:tc>
        <w:tc>
          <w:tcPr>
            <w:tcW w:type="dxa" w:w="2076"/>
          </w:tcPr>
          <w:p>
            <w:pPr>
              <w:pStyle w:val="null5"/>
              <w:jc w:val="left"/>
            </w:pPr>
            <w:r>
              <w:rPr>
                <w:rFonts w:ascii="仿宋_GB2312" w:hAnsi="仿宋_GB2312" w:cs="仿宋_GB2312" w:eastAsia="仿宋_GB2312"/>
              </w:rPr>
              <w:t>自定义实训：在接入过程中，平台允许用户自定义实训项目的名称， 以符合不同专业领域的命名习惯与教学要求。</w:t>
            </w:r>
          </w:p>
        </w:tc>
      </w:tr>
      <w:tr>
        <w:tc>
          <w:tcPr>
            <w:tcW w:type="dxa" w:w="2076"/>
          </w:tcPr>
          <w:p>
            <w:pPr>
              <w:pStyle w:val="null5"/>
              <w:jc w:val="left"/>
            </w:pPr>
            <w:r>
              <w:rPr>
                <w:rFonts w:ascii="仿宋_GB2312" w:hAnsi="仿宋_GB2312" w:cs="仿宋_GB2312" w:eastAsia="仿宋_GB2312"/>
              </w:rPr>
              <w:t>52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5.2.6</w:t>
            </w:r>
          </w:p>
        </w:tc>
        <w:tc>
          <w:tcPr>
            <w:tcW w:type="dxa" w:w="2076"/>
          </w:tcPr>
          <w:p>
            <w:pPr>
              <w:pStyle w:val="null5"/>
              <w:jc w:val="left"/>
            </w:pPr>
            <w:r>
              <w:rPr>
                <w:rFonts w:ascii="仿宋_GB2312" w:hAnsi="仿宋_GB2312" w:cs="仿宋_GB2312" w:eastAsia="仿宋_GB2312"/>
              </w:rPr>
              <w:t>课程关联实训：实训案例库可以和基础底座的课程模块进行绑定，支持从实训课程中进行跳转。（需提供相应功能的截图及相应证明材料）</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5.2.7</w:t>
            </w:r>
          </w:p>
        </w:tc>
        <w:tc>
          <w:tcPr>
            <w:tcW w:type="dxa" w:w="2076"/>
          </w:tcPr>
          <w:p>
            <w:pPr>
              <w:pStyle w:val="null5"/>
              <w:jc w:val="left"/>
            </w:pPr>
            <w:r>
              <w:rPr>
                <w:rFonts w:ascii="仿宋_GB2312" w:hAnsi="仿宋_GB2312" w:cs="仿宋_GB2312" w:eastAsia="仿宋_GB2312"/>
              </w:rPr>
              <w:t>线上项目实训：内置在线虚拟实训环境，支持学生基于实训项目，参考实训手册进行实训操作演练，并将实训数据进行上报。</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5.3</w:t>
            </w:r>
          </w:p>
        </w:tc>
        <w:tc>
          <w:tcPr>
            <w:tcW w:type="dxa" w:w="2076"/>
          </w:tcPr>
          <w:p>
            <w:pPr>
              <w:pStyle w:val="null5"/>
              <w:jc w:val="left"/>
            </w:pPr>
            <w:r>
              <w:rPr>
                <w:rFonts w:ascii="仿宋_GB2312" w:hAnsi="仿宋_GB2312" w:cs="仿宋_GB2312" w:eastAsia="仿宋_GB2312"/>
              </w:rPr>
              <w:t>系统简介</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5.3.1</w:t>
            </w:r>
          </w:p>
        </w:tc>
        <w:tc>
          <w:tcPr>
            <w:tcW w:type="dxa" w:w="2076"/>
          </w:tcPr>
          <w:p>
            <w:pPr>
              <w:pStyle w:val="null5"/>
              <w:jc w:val="left"/>
            </w:pPr>
            <w:r>
              <w:rPr>
                <w:rFonts w:ascii="仿宋_GB2312" w:hAnsi="仿宋_GB2312" w:cs="仿宋_GB2312" w:eastAsia="仿宋_GB2312"/>
              </w:rPr>
              <w:t>面向高校人工智能、计算机科学及信息工程等相关专业建设，打造集教学指导与应用开发于一体的智能体实践教学平台。</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5.3.2</w:t>
            </w:r>
          </w:p>
        </w:tc>
        <w:tc>
          <w:tcPr>
            <w:tcW w:type="dxa" w:w="2076"/>
          </w:tcPr>
          <w:p>
            <w:pPr>
              <w:pStyle w:val="null5"/>
              <w:jc w:val="left"/>
            </w:pPr>
            <w:r>
              <w:rPr>
                <w:rFonts w:ascii="仿宋_GB2312" w:hAnsi="仿宋_GB2312" w:cs="仿宋_GB2312" w:eastAsia="仿宋_GB2312"/>
              </w:rPr>
              <w:t>教学实践融合：采用双区联动模式，实现理论讲解与平台操作同步进行，构建学做结合的实践教学体系。</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5.3.3</w:t>
            </w:r>
          </w:p>
        </w:tc>
        <w:tc>
          <w:tcPr>
            <w:tcW w:type="dxa" w:w="2076"/>
          </w:tcPr>
          <w:p>
            <w:pPr>
              <w:pStyle w:val="null5"/>
              <w:jc w:val="left"/>
            </w:pPr>
            <w:r>
              <w:rPr>
                <w:rFonts w:ascii="仿宋_GB2312" w:hAnsi="仿宋_GB2312" w:cs="仿宋_GB2312" w:eastAsia="仿宋_GB2312"/>
              </w:rPr>
              <w:t>可视化智能体开发：提供可视化工作流设计环境，支持通过拖拽方式搭建智能体应用流程。</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5.3.4</w:t>
            </w:r>
          </w:p>
        </w:tc>
        <w:tc>
          <w:tcPr>
            <w:tcW w:type="dxa" w:w="2076"/>
          </w:tcPr>
          <w:p>
            <w:pPr>
              <w:pStyle w:val="null5"/>
              <w:jc w:val="left"/>
            </w:pPr>
            <w:r>
              <w:rPr>
                <w:rFonts w:ascii="仿宋_GB2312" w:hAnsi="仿宋_GB2312" w:cs="仿宋_GB2312" w:eastAsia="仿宋_GB2312"/>
              </w:rPr>
              <w:t>多模型接入能力：支持多种主流模型与本地部署模型接入，可切换与对比。</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5.3.5</w:t>
            </w:r>
          </w:p>
        </w:tc>
        <w:tc>
          <w:tcPr>
            <w:tcW w:type="dxa" w:w="2076"/>
          </w:tcPr>
          <w:p>
            <w:pPr>
              <w:pStyle w:val="null5"/>
              <w:jc w:val="left"/>
            </w:pPr>
            <w:r>
              <w:rPr>
                <w:rFonts w:ascii="仿宋_GB2312" w:hAnsi="仿宋_GB2312" w:cs="仿宋_GB2312" w:eastAsia="仿宋_GB2312"/>
              </w:rPr>
              <w:t>知识增强与应用构建：支持企业或专业知识库接入，实现知识增强问答与场景化应用开发，提升智能体专业能力。</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5.3.6</w:t>
            </w:r>
          </w:p>
        </w:tc>
        <w:tc>
          <w:tcPr>
            <w:tcW w:type="dxa" w:w="2076"/>
          </w:tcPr>
          <w:p>
            <w:pPr>
              <w:pStyle w:val="null5"/>
              <w:jc w:val="left"/>
            </w:pPr>
            <w:r>
              <w:rPr>
                <w:rFonts w:ascii="仿宋_GB2312" w:hAnsi="仿宋_GB2312" w:cs="仿宋_GB2312" w:eastAsia="仿宋_GB2312"/>
              </w:rPr>
              <w:t>插件扩展与任务执行：提供插件扩展机制，使智能体具备数据调用、系统对接与任务执行能力，推动智能体从问答工具向可执行型智能体升级。</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系统硬件资源支持：</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pPr>
              <w:pStyle w:val="null5"/>
              <w:jc w:val="left"/>
            </w:pPr>
            <w:r>
              <w:rPr>
                <w:rFonts w:ascii="仿宋_GB2312" w:hAnsi="仿宋_GB2312" w:cs="仿宋_GB2312" w:eastAsia="仿宋_GB2312"/>
              </w:rPr>
              <w:t>6.1</w:t>
            </w:r>
          </w:p>
        </w:tc>
        <w:tc>
          <w:tcPr>
            <w:tcW w:type="dxa" w:w="2076"/>
          </w:tcPr>
          <w:p>
            <w:pPr>
              <w:pStyle w:val="null5"/>
              <w:jc w:val="left"/>
            </w:pPr>
            <w:r>
              <w:rPr>
                <w:rFonts w:ascii="仿宋_GB2312" w:hAnsi="仿宋_GB2312" w:cs="仿宋_GB2312" w:eastAsia="仿宋_GB2312"/>
              </w:rPr>
              <w:t>处理器：≥2 × 14 核 28 线程 / 颗，主频≥2.60GHz/ 颗</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6.2</w:t>
            </w:r>
          </w:p>
        </w:tc>
        <w:tc>
          <w:tcPr>
            <w:tcW w:type="dxa" w:w="2076"/>
          </w:tcPr>
          <w:p>
            <w:pPr>
              <w:pStyle w:val="null5"/>
              <w:jc w:val="left"/>
            </w:pPr>
            <w:r>
              <w:rPr>
                <w:rFonts w:ascii="仿宋_GB2312" w:hAnsi="仿宋_GB2312" w:cs="仿宋_GB2312" w:eastAsia="仿宋_GB2312"/>
              </w:rPr>
              <w:t>内存：≥8 × 32GB DDR4 ECC RDIMM（2400MHz）</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6.3</w:t>
            </w:r>
          </w:p>
        </w:tc>
        <w:tc>
          <w:tcPr>
            <w:tcW w:type="dxa" w:w="2076"/>
          </w:tcPr>
          <w:p>
            <w:pPr>
              <w:pStyle w:val="null5"/>
              <w:jc w:val="left"/>
            </w:pPr>
            <w:r>
              <w:rPr>
                <w:rFonts w:ascii="仿宋_GB2312" w:hAnsi="仿宋_GB2312" w:cs="仿宋_GB2312" w:eastAsia="仿宋_GB2312"/>
              </w:rPr>
              <w:t>系统 / 高速存储：≥1 × 960GB + 1 × 240GB SATA 企业级 SSD</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6.4</w:t>
            </w:r>
          </w:p>
        </w:tc>
        <w:tc>
          <w:tcPr>
            <w:tcW w:type="dxa" w:w="2076"/>
          </w:tcPr>
          <w:p>
            <w:pPr>
              <w:pStyle w:val="null5"/>
              <w:jc w:val="left"/>
            </w:pPr>
            <w:r>
              <w:rPr>
                <w:rFonts w:ascii="仿宋_GB2312" w:hAnsi="仿宋_GB2312" w:cs="仿宋_GB2312" w:eastAsia="仿宋_GB2312"/>
              </w:rPr>
              <w:t>数据存储：≥4 × 4TB SATA 7200RPM 企业级机械硬盘</w:t>
            </w:r>
          </w:p>
        </w:tc>
      </w:tr>
      <w:tr>
        <w:tc>
          <w:tcPr>
            <w:tcW w:type="dxa" w:w="2076"/>
          </w:tcPr>
          <w:p>
            <w:pPr>
              <w:pStyle w:val="null5"/>
              <w:jc w:val="left"/>
            </w:pPr>
            <w:r>
              <w:rPr>
                <w:rFonts w:ascii="仿宋_GB2312" w:hAnsi="仿宋_GB2312" w:cs="仿宋_GB2312" w:eastAsia="仿宋_GB2312"/>
              </w:rPr>
              <w:t>66</w:t>
            </w:r>
          </w:p>
        </w:tc>
        <w:tc>
          <w:tcPr>
            <w:tcW w:type="dxa" w:w="2076"/>
          </w:tcPr>
          <w:p/>
        </w:tc>
        <w:tc>
          <w:tcPr>
            <w:tcW w:type="dxa" w:w="2076"/>
          </w:tcPr>
          <w:p>
            <w:pPr>
              <w:pStyle w:val="null5"/>
              <w:jc w:val="left"/>
            </w:pPr>
            <w:r>
              <w:rPr>
                <w:rFonts w:ascii="仿宋_GB2312" w:hAnsi="仿宋_GB2312" w:cs="仿宋_GB2312" w:eastAsia="仿宋_GB2312"/>
              </w:rPr>
              <w:t>6.5</w:t>
            </w:r>
          </w:p>
        </w:tc>
        <w:tc>
          <w:tcPr>
            <w:tcW w:type="dxa" w:w="2076"/>
          </w:tcPr>
          <w:p>
            <w:pPr>
              <w:pStyle w:val="null5"/>
              <w:jc w:val="left"/>
            </w:pPr>
            <w:r>
              <w:rPr>
                <w:rFonts w:ascii="仿宋_GB2312" w:hAnsi="仿宋_GB2312" w:cs="仿宋_GB2312" w:eastAsia="仿宋_GB2312"/>
              </w:rPr>
              <w:t>主板：支持双路 CPU</w:t>
            </w:r>
          </w:p>
        </w:tc>
      </w:tr>
      <w:tr>
        <w:tc>
          <w:tcPr>
            <w:tcW w:type="dxa" w:w="2076"/>
          </w:tcPr>
          <w:p>
            <w:pPr>
              <w:pStyle w:val="null5"/>
              <w:jc w:val="left"/>
            </w:pPr>
            <w:r>
              <w:rPr>
                <w:rFonts w:ascii="仿宋_GB2312" w:hAnsi="仿宋_GB2312" w:cs="仿宋_GB2312" w:eastAsia="仿宋_GB2312"/>
              </w:rPr>
              <w:t>67</w:t>
            </w:r>
          </w:p>
        </w:tc>
        <w:tc>
          <w:tcPr>
            <w:tcW w:type="dxa" w:w="2076"/>
          </w:tcPr>
          <w:p/>
        </w:tc>
        <w:tc>
          <w:tcPr>
            <w:tcW w:type="dxa" w:w="2076"/>
          </w:tcPr>
          <w:p>
            <w:pPr>
              <w:pStyle w:val="null5"/>
              <w:jc w:val="left"/>
            </w:pPr>
            <w:r>
              <w:rPr>
                <w:rFonts w:ascii="仿宋_GB2312" w:hAnsi="仿宋_GB2312" w:cs="仿宋_GB2312" w:eastAsia="仿宋_GB2312"/>
              </w:rPr>
              <w:t>6.6</w:t>
            </w:r>
          </w:p>
        </w:tc>
        <w:tc>
          <w:tcPr>
            <w:tcW w:type="dxa" w:w="2076"/>
          </w:tcPr>
          <w:p>
            <w:pPr>
              <w:pStyle w:val="null5"/>
              <w:jc w:val="left"/>
            </w:pPr>
            <w:r>
              <w:rPr>
                <w:rFonts w:ascii="仿宋_GB2312" w:hAnsi="仿宋_GB2312" w:cs="仿宋_GB2312" w:eastAsia="仿宋_GB2312"/>
              </w:rPr>
              <w:t>配套服务器硬件甲方永久使用，供方提供服务期内的技术支持服务，技术支持服务包含硬件故障检测、故障定位、技术指导及维修协调。</w:t>
            </w:r>
          </w:p>
        </w:tc>
      </w:tr>
    </w:tbl>
    <w:p>
      <w:pPr>
        <w:pStyle w:val="null5"/>
        <w:jc w:val="left"/>
      </w:pPr>
      <w:r>
        <w:rPr>
          <w:rFonts w:ascii="仿宋_GB2312" w:hAnsi="仿宋_GB2312" w:cs="仿宋_GB2312" w:eastAsia="仿宋_GB2312"/>
        </w:rPr>
        <w:t>标的名称：智能体应用开发教学资源</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教材目标</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本课程围绕智能体应用开发的基本流程展开，从智能体技术基础和大语言模型应用入手，逐步介绍智能体设计方法、知识库构建、工作流设计以及多智能体协作等关键内容，并结合典型应用场景开展实践训练。通过项目化学习方式，引导学习者掌握智能体系统构建、运行与应用的基本方法，逐步提升利用智能体技术解决实际问题的能力。</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模块结构（包含但不限于以下内容）</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项目一 人工智能与智能体技术认知</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2.1.1</w:t>
            </w:r>
          </w:p>
        </w:tc>
        <w:tc>
          <w:tcPr>
            <w:tcW w:type="dxa" w:w="2076"/>
          </w:tcPr>
          <w:p>
            <w:pPr>
              <w:pStyle w:val="null5"/>
              <w:jc w:val="left"/>
            </w:pPr>
            <w:r>
              <w:rPr>
                <w:rFonts w:ascii="仿宋_GB2312" w:hAnsi="仿宋_GB2312" w:cs="仿宋_GB2312" w:eastAsia="仿宋_GB2312"/>
              </w:rPr>
              <w:t>任务1 人工智能技术发展概述</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2.1.2</w:t>
            </w:r>
          </w:p>
        </w:tc>
        <w:tc>
          <w:tcPr>
            <w:tcW w:type="dxa" w:w="2076"/>
          </w:tcPr>
          <w:p>
            <w:pPr>
              <w:pStyle w:val="null5"/>
              <w:jc w:val="left"/>
            </w:pPr>
            <w:r>
              <w:rPr>
                <w:rFonts w:ascii="仿宋_GB2312" w:hAnsi="仿宋_GB2312" w:cs="仿宋_GB2312" w:eastAsia="仿宋_GB2312"/>
              </w:rPr>
              <w:t>任务2 智能体基本概念与特点</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2.1.3</w:t>
            </w:r>
          </w:p>
        </w:tc>
        <w:tc>
          <w:tcPr>
            <w:tcW w:type="dxa" w:w="2076"/>
          </w:tcPr>
          <w:p>
            <w:pPr>
              <w:pStyle w:val="null5"/>
              <w:jc w:val="left"/>
            </w:pPr>
            <w:r>
              <w:rPr>
                <w:rFonts w:ascii="仿宋_GB2312" w:hAnsi="仿宋_GB2312" w:cs="仿宋_GB2312" w:eastAsia="仿宋_GB2312"/>
              </w:rPr>
              <w:t>任务3 智能体系统的基本结构</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2.1.4</w:t>
            </w:r>
          </w:p>
        </w:tc>
        <w:tc>
          <w:tcPr>
            <w:tcW w:type="dxa" w:w="2076"/>
          </w:tcPr>
          <w:p>
            <w:pPr>
              <w:pStyle w:val="null5"/>
              <w:jc w:val="left"/>
            </w:pPr>
            <w:r>
              <w:rPr>
                <w:rFonts w:ascii="仿宋_GB2312" w:hAnsi="仿宋_GB2312" w:cs="仿宋_GB2312" w:eastAsia="仿宋_GB2312"/>
              </w:rPr>
              <w:t>任务4 智能体应用案例分析</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项目二 大语言模型基础</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2.2.1</w:t>
            </w:r>
          </w:p>
        </w:tc>
        <w:tc>
          <w:tcPr>
            <w:tcW w:type="dxa" w:w="2076"/>
          </w:tcPr>
          <w:p>
            <w:pPr>
              <w:pStyle w:val="null5"/>
              <w:jc w:val="left"/>
            </w:pPr>
            <w:r>
              <w:rPr>
                <w:rFonts w:ascii="仿宋_GB2312" w:hAnsi="仿宋_GB2312" w:cs="仿宋_GB2312" w:eastAsia="仿宋_GB2312"/>
              </w:rPr>
              <w:t>任务1 大语言模型基本原理</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2.2.2</w:t>
            </w:r>
          </w:p>
        </w:tc>
        <w:tc>
          <w:tcPr>
            <w:tcW w:type="dxa" w:w="2076"/>
          </w:tcPr>
          <w:p>
            <w:pPr>
              <w:pStyle w:val="null5"/>
              <w:jc w:val="left"/>
            </w:pPr>
            <w:r>
              <w:rPr>
                <w:rFonts w:ascii="仿宋_GB2312" w:hAnsi="仿宋_GB2312" w:cs="仿宋_GB2312" w:eastAsia="仿宋_GB2312"/>
              </w:rPr>
              <w:t>任务2 大模型常见应用方式</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2.2.3</w:t>
            </w:r>
          </w:p>
        </w:tc>
        <w:tc>
          <w:tcPr>
            <w:tcW w:type="dxa" w:w="2076"/>
          </w:tcPr>
          <w:p>
            <w:pPr>
              <w:pStyle w:val="null5"/>
              <w:jc w:val="left"/>
            </w:pPr>
            <w:r>
              <w:rPr>
                <w:rFonts w:ascii="仿宋_GB2312" w:hAnsi="仿宋_GB2312" w:cs="仿宋_GB2312" w:eastAsia="仿宋_GB2312"/>
              </w:rPr>
              <w:t>任务3 提示词设计基础方法</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2.2.4</w:t>
            </w:r>
          </w:p>
        </w:tc>
        <w:tc>
          <w:tcPr>
            <w:tcW w:type="dxa" w:w="2076"/>
          </w:tcPr>
          <w:p>
            <w:pPr>
              <w:pStyle w:val="null5"/>
              <w:jc w:val="left"/>
            </w:pPr>
            <w:r>
              <w:rPr>
                <w:rFonts w:ascii="仿宋_GB2312" w:hAnsi="仿宋_GB2312" w:cs="仿宋_GB2312" w:eastAsia="仿宋_GB2312"/>
              </w:rPr>
              <w:t>任务4 大模型接口调用实践</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项目三 智能体开发环境与工具</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2.3.1</w:t>
            </w:r>
          </w:p>
        </w:tc>
        <w:tc>
          <w:tcPr>
            <w:tcW w:type="dxa" w:w="2076"/>
          </w:tcPr>
          <w:p>
            <w:pPr>
              <w:pStyle w:val="null5"/>
              <w:jc w:val="left"/>
            </w:pPr>
            <w:r>
              <w:rPr>
                <w:rFonts w:ascii="仿宋_GB2312" w:hAnsi="仿宋_GB2312" w:cs="仿宋_GB2312" w:eastAsia="仿宋_GB2312"/>
              </w:rPr>
              <w:t>任务1 常见智能体开发框架介绍</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2.3.2</w:t>
            </w:r>
          </w:p>
        </w:tc>
        <w:tc>
          <w:tcPr>
            <w:tcW w:type="dxa" w:w="2076"/>
          </w:tcPr>
          <w:p>
            <w:pPr>
              <w:pStyle w:val="null5"/>
              <w:jc w:val="left"/>
            </w:pPr>
            <w:r>
              <w:rPr>
                <w:rFonts w:ascii="仿宋_GB2312" w:hAnsi="仿宋_GB2312" w:cs="仿宋_GB2312" w:eastAsia="仿宋_GB2312"/>
              </w:rPr>
              <w:t>任务2 智能体开发平台使用</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2.3.3</w:t>
            </w:r>
          </w:p>
        </w:tc>
        <w:tc>
          <w:tcPr>
            <w:tcW w:type="dxa" w:w="2076"/>
          </w:tcPr>
          <w:p>
            <w:pPr>
              <w:pStyle w:val="null5"/>
              <w:jc w:val="left"/>
            </w:pPr>
            <w:r>
              <w:rPr>
                <w:rFonts w:ascii="仿宋_GB2312" w:hAnsi="仿宋_GB2312" w:cs="仿宋_GB2312" w:eastAsia="仿宋_GB2312"/>
              </w:rPr>
              <w:t>任务3 智能体开发环境配置</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2.3.4</w:t>
            </w:r>
          </w:p>
        </w:tc>
        <w:tc>
          <w:tcPr>
            <w:tcW w:type="dxa" w:w="2076"/>
          </w:tcPr>
          <w:p>
            <w:pPr>
              <w:pStyle w:val="null5"/>
              <w:jc w:val="left"/>
            </w:pPr>
            <w:r>
              <w:rPr>
                <w:rFonts w:ascii="仿宋_GB2312" w:hAnsi="仿宋_GB2312" w:cs="仿宋_GB2312" w:eastAsia="仿宋_GB2312"/>
              </w:rPr>
              <w:t>任务4 简单智能体构建实践</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项目四 智能体设计与任务规划</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2.4.1</w:t>
            </w:r>
          </w:p>
        </w:tc>
        <w:tc>
          <w:tcPr>
            <w:tcW w:type="dxa" w:w="2076"/>
          </w:tcPr>
          <w:p>
            <w:pPr>
              <w:pStyle w:val="null5"/>
              <w:jc w:val="left"/>
            </w:pPr>
            <w:r>
              <w:rPr>
                <w:rFonts w:ascii="仿宋_GB2312" w:hAnsi="仿宋_GB2312" w:cs="仿宋_GB2312" w:eastAsia="仿宋_GB2312"/>
              </w:rPr>
              <w:t>任务1 智能体结构设计方法</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2.4.2</w:t>
            </w:r>
          </w:p>
        </w:tc>
        <w:tc>
          <w:tcPr>
            <w:tcW w:type="dxa" w:w="2076"/>
          </w:tcPr>
          <w:p>
            <w:pPr>
              <w:pStyle w:val="null5"/>
              <w:jc w:val="left"/>
            </w:pPr>
            <w:r>
              <w:rPr>
                <w:rFonts w:ascii="仿宋_GB2312" w:hAnsi="仿宋_GB2312" w:cs="仿宋_GB2312" w:eastAsia="仿宋_GB2312"/>
              </w:rPr>
              <w:t>任务2 智能体任务规划机制</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2.4.3</w:t>
            </w:r>
          </w:p>
        </w:tc>
        <w:tc>
          <w:tcPr>
            <w:tcW w:type="dxa" w:w="2076"/>
          </w:tcPr>
          <w:p>
            <w:pPr>
              <w:pStyle w:val="null5"/>
              <w:jc w:val="left"/>
            </w:pPr>
            <w:r>
              <w:rPr>
                <w:rFonts w:ascii="仿宋_GB2312" w:hAnsi="仿宋_GB2312" w:cs="仿宋_GB2312" w:eastAsia="仿宋_GB2312"/>
              </w:rPr>
              <w:t>任务3 工具调用与任务执行流程</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2.4.4</w:t>
            </w:r>
          </w:p>
        </w:tc>
        <w:tc>
          <w:tcPr>
            <w:tcW w:type="dxa" w:w="2076"/>
          </w:tcPr>
          <w:p>
            <w:pPr>
              <w:pStyle w:val="null5"/>
              <w:jc w:val="left"/>
            </w:pPr>
            <w:r>
              <w:rPr>
                <w:rFonts w:ascii="仿宋_GB2312" w:hAnsi="仿宋_GB2312" w:cs="仿宋_GB2312" w:eastAsia="仿宋_GB2312"/>
              </w:rPr>
              <w:t>任务4 智能体任务执行实践</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项目五 知识库构建与检索增强</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2.5.1</w:t>
            </w:r>
          </w:p>
        </w:tc>
        <w:tc>
          <w:tcPr>
            <w:tcW w:type="dxa" w:w="2076"/>
          </w:tcPr>
          <w:p>
            <w:pPr>
              <w:pStyle w:val="null5"/>
              <w:jc w:val="left"/>
            </w:pPr>
            <w:r>
              <w:rPr>
                <w:rFonts w:ascii="仿宋_GB2312" w:hAnsi="仿宋_GB2312" w:cs="仿宋_GB2312" w:eastAsia="仿宋_GB2312"/>
              </w:rPr>
              <w:t>任务1 知识库构建方法</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2.5.2</w:t>
            </w:r>
          </w:p>
        </w:tc>
        <w:tc>
          <w:tcPr>
            <w:tcW w:type="dxa" w:w="2076"/>
          </w:tcPr>
          <w:p>
            <w:pPr>
              <w:pStyle w:val="null5"/>
              <w:jc w:val="left"/>
            </w:pPr>
            <w:r>
              <w:rPr>
                <w:rFonts w:ascii="仿宋_GB2312" w:hAnsi="仿宋_GB2312" w:cs="仿宋_GB2312" w:eastAsia="仿宋_GB2312"/>
              </w:rPr>
              <w:t>任务2 文档处理与向量化存储</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2.5.3</w:t>
            </w:r>
          </w:p>
        </w:tc>
        <w:tc>
          <w:tcPr>
            <w:tcW w:type="dxa" w:w="2076"/>
          </w:tcPr>
          <w:p>
            <w:pPr>
              <w:pStyle w:val="null5"/>
              <w:jc w:val="left"/>
            </w:pPr>
            <w:r>
              <w:rPr>
                <w:rFonts w:ascii="仿宋_GB2312" w:hAnsi="仿宋_GB2312" w:cs="仿宋_GB2312" w:eastAsia="仿宋_GB2312"/>
              </w:rPr>
              <w:t>任务3 检索增强生成技术应用</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2.5.4</w:t>
            </w:r>
          </w:p>
        </w:tc>
        <w:tc>
          <w:tcPr>
            <w:tcW w:type="dxa" w:w="2076"/>
          </w:tcPr>
          <w:p>
            <w:pPr>
              <w:pStyle w:val="null5"/>
              <w:jc w:val="left"/>
            </w:pPr>
            <w:r>
              <w:rPr>
                <w:rFonts w:ascii="仿宋_GB2312" w:hAnsi="仿宋_GB2312" w:cs="仿宋_GB2312" w:eastAsia="仿宋_GB2312"/>
              </w:rPr>
              <w:t>任务4 知识型智能体实现</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项目六 智能体工作流设计</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2.6.1</w:t>
            </w:r>
          </w:p>
        </w:tc>
        <w:tc>
          <w:tcPr>
            <w:tcW w:type="dxa" w:w="2076"/>
          </w:tcPr>
          <w:p>
            <w:pPr>
              <w:pStyle w:val="null5"/>
              <w:jc w:val="left"/>
            </w:pPr>
            <w:r>
              <w:rPr>
                <w:rFonts w:ascii="仿宋_GB2312" w:hAnsi="仿宋_GB2312" w:cs="仿宋_GB2312" w:eastAsia="仿宋_GB2312"/>
              </w:rPr>
              <w:t>任务1 智能体工作流程设计方法</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2.6.2</w:t>
            </w:r>
          </w:p>
        </w:tc>
        <w:tc>
          <w:tcPr>
            <w:tcW w:type="dxa" w:w="2076"/>
          </w:tcPr>
          <w:p>
            <w:pPr>
              <w:pStyle w:val="null5"/>
              <w:jc w:val="left"/>
            </w:pPr>
            <w:r>
              <w:rPr>
                <w:rFonts w:ascii="仿宋_GB2312" w:hAnsi="仿宋_GB2312" w:cs="仿宋_GB2312" w:eastAsia="仿宋_GB2312"/>
              </w:rPr>
              <w:t>任务2 多步骤任务执行机制</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2.6.3</w:t>
            </w:r>
          </w:p>
        </w:tc>
        <w:tc>
          <w:tcPr>
            <w:tcW w:type="dxa" w:w="2076"/>
          </w:tcPr>
          <w:p>
            <w:pPr>
              <w:pStyle w:val="null5"/>
              <w:jc w:val="left"/>
            </w:pPr>
            <w:r>
              <w:rPr>
                <w:rFonts w:ascii="仿宋_GB2312" w:hAnsi="仿宋_GB2312" w:cs="仿宋_GB2312" w:eastAsia="仿宋_GB2312"/>
              </w:rPr>
              <w:t>任务3 智能体工具协同调用</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2.6.4</w:t>
            </w:r>
          </w:p>
        </w:tc>
        <w:tc>
          <w:tcPr>
            <w:tcW w:type="dxa" w:w="2076"/>
          </w:tcPr>
          <w:p>
            <w:pPr>
              <w:pStyle w:val="null5"/>
              <w:jc w:val="left"/>
            </w:pPr>
            <w:r>
              <w:rPr>
                <w:rFonts w:ascii="仿宋_GB2312" w:hAnsi="仿宋_GB2312" w:cs="仿宋_GB2312" w:eastAsia="仿宋_GB2312"/>
              </w:rPr>
              <w:t>任务4 自动化任务流程实现</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项目七 多智能体协作机制</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2.7.1</w:t>
            </w:r>
          </w:p>
        </w:tc>
        <w:tc>
          <w:tcPr>
            <w:tcW w:type="dxa" w:w="2076"/>
          </w:tcPr>
          <w:p>
            <w:pPr>
              <w:pStyle w:val="null5"/>
              <w:jc w:val="left"/>
            </w:pPr>
            <w:r>
              <w:rPr>
                <w:rFonts w:ascii="仿宋_GB2312" w:hAnsi="仿宋_GB2312" w:cs="仿宋_GB2312" w:eastAsia="仿宋_GB2312"/>
              </w:rPr>
              <w:t>任务1 多智能体系统基本模式</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2.7.2</w:t>
            </w:r>
          </w:p>
        </w:tc>
        <w:tc>
          <w:tcPr>
            <w:tcW w:type="dxa" w:w="2076"/>
          </w:tcPr>
          <w:p>
            <w:pPr>
              <w:pStyle w:val="null5"/>
              <w:jc w:val="left"/>
            </w:pPr>
            <w:r>
              <w:rPr>
                <w:rFonts w:ascii="仿宋_GB2312" w:hAnsi="仿宋_GB2312" w:cs="仿宋_GB2312" w:eastAsia="仿宋_GB2312"/>
              </w:rPr>
              <w:t>任务2 智能体角色设计与分工</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2.7.3</w:t>
            </w:r>
          </w:p>
        </w:tc>
        <w:tc>
          <w:tcPr>
            <w:tcW w:type="dxa" w:w="2076"/>
          </w:tcPr>
          <w:p>
            <w:pPr>
              <w:pStyle w:val="null5"/>
              <w:jc w:val="left"/>
            </w:pPr>
            <w:r>
              <w:rPr>
                <w:rFonts w:ascii="仿宋_GB2312" w:hAnsi="仿宋_GB2312" w:cs="仿宋_GB2312" w:eastAsia="仿宋_GB2312"/>
              </w:rPr>
              <w:t>任务3 多智能体协同任务实现</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2.7.4</w:t>
            </w:r>
          </w:p>
        </w:tc>
        <w:tc>
          <w:tcPr>
            <w:tcW w:type="dxa" w:w="2076"/>
          </w:tcPr>
          <w:p>
            <w:pPr>
              <w:pStyle w:val="null5"/>
              <w:jc w:val="left"/>
            </w:pPr>
            <w:r>
              <w:rPr>
                <w:rFonts w:ascii="仿宋_GB2312" w:hAnsi="仿宋_GB2312" w:cs="仿宋_GB2312" w:eastAsia="仿宋_GB2312"/>
              </w:rPr>
              <w:t>任务4 多智能体应用实践</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2.8</w:t>
            </w:r>
          </w:p>
        </w:tc>
        <w:tc>
          <w:tcPr>
            <w:tcW w:type="dxa" w:w="2076"/>
          </w:tcPr>
          <w:p>
            <w:pPr>
              <w:pStyle w:val="null5"/>
              <w:jc w:val="left"/>
            </w:pPr>
            <w:r>
              <w:rPr>
                <w:rFonts w:ascii="仿宋_GB2312" w:hAnsi="仿宋_GB2312" w:cs="仿宋_GB2312" w:eastAsia="仿宋_GB2312"/>
              </w:rPr>
              <w:t>项目八 智能体部署与运行</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2.8.1</w:t>
            </w:r>
          </w:p>
        </w:tc>
        <w:tc>
          <w:tcPr>
            <w:tcW w:type="dxa" w:w="2076"/>
          </w:tcPr>
          <w:p>
            <w:pPr>
              <w:pStyle w:val="null5"/>
              <w:jc w:val="left"/>
            </w:pPr>
            <w:r>
              <w:rPr>
                <w:rFonts w:ascii="仿宋_GB2312" w:hAnsi="仿宋_GB2312" w:cs="仿宋_GB2312" w:eastAsia="仿宋_GB2312"/>
              </w:rPr>
              <w:t>任务1 智能体系统部署方法</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2.8.2</w:t>
            </w:r>
          </w:p>
        </w:tc>
        <w:tc>
          <w:tcPr>
            <w:tcW w:type="dxa" w:w="2076"/>
          </w:tcPr>
          <w:p>
            <w:pPr>
              <w:pStyle w:val="null5"/>
              <w:jc w:val="left"/>
            </w:pPr>
            <w:r>
              <w:rPr>
                <w:rFonts w:ascii="仿宋_GB2312" w:hAnsi="仿宋_GB2312" w:cs="仿宋_GB2312" w:eastAsia="仿宋_GB2312"/>
              </w:rPr>
              <w:t>任务2 智能体服务接口设计与调用</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2.8.3</w:t>
            </w:r>
          </w:p>
        </w:tc>
        <w:tc>
          <w:tcPr>
            <w:tcW w:type="dxa" w:w="2076"/>
          </w:tcPr>
          <w:p>
            <w:pPr>
              <w:pStyle w:val="null5"/>
              <w:jc w:val="left"/>
            </w:pPr>
            <w:r>
              <w:rPr>
                <w:rFonts w:ascii="仿宋_GB2312" w:hAnsi="仿宋_GB2312" w:cs="仿宋_GB2312" w:eastAsia="仿宋_GB2312"/>
              </w:rPr>
              <w:t>任务3 系统运行监控与维护</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2.8.4</w:t>
            </w:r>
          </w:p>
        </w:tc>
        <w:tc>
          <w:tcPr>
            <w:tcW w:type="dxa" w:w="2076"/>
          </w:tcPr>
          <w:p>
            <w:pPr>
              <w:pStyle w:val="null5"/>
              <w:jc w:val="left"/>
            </w:pPr>
            <w:r>
              <w:rPr>
                <w:rFonts w:ascii="仿宋_GB2312" w:hAnsi="仿宋_GB2312" w:cs="仿宋_GB2312" w:eastAsia="仿宋_GB2312"/>
              </w:rPr>
              <w:t>任务4 智能体运行优化方法</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2.9</w:t>
            </w:r>
          </w:p>
        </w:tc>
        <w:tc>
          <w:tcPr>
            <w:tcW w:type="dxa" w:w="2076"/>
          </w:tcPr>
          <w:p>
            <w:pPr>
              <w:pStyle w:val="null5"/>
              <w:jc w:val="left"/>
            </w:pPr>
            <w:r>
              <w:rPr>
                <w:rFonts w:ascii="仿宋_GB2312" w:hAnsi="仿宋_GB2312" w:cs="仿宋_GB2312" w:eastAsia="仿宋_GB2312"/>
              </w:rPr>
              <w:t>项目九 智能体应用场景实践</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2.9.1</w:t>
            </w:r>
          </w:p>
        </w:tc>
        <w:tc>
          <w:tcPr>
            <w:tcW w:type="dxa" w:w="2076"/>
          </w:tcPr>
          <w:p>
            <w:pPr>
              <w:pStyle w:val="null5"/>
              <w:jc w:val="left"/>
            </w:pPr>
            <w:r>
              <w:rPr>
                <w:rFonts w:ascii="仿宋_GB2312" w:hAnsi="仿宋_GB2312" w:cs="仿宋_GB2312" w:eastAsia="仿宋_GB2312"/>
              </w:rPr>
              <w:t>任务1 智能客服智能体实现</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2.9.2</w:t>
            </w:r>
          </w:p>
        </w:tc>
        <w:tc>
          <w:tcPr>
            <w:tcW w:type="dxa" w:w="2076"/>
          </w:tcPr>
          <w:p>
            <w:pPr>
              <w:pStyle w:val="null5"/>
              <w:jc w:val="left"/>
            </w:pPr>
            <w:r>
              <w:rPr>
                <w:rFonts w:ascii="仿宋_GB2312" w:hAnsi="仿宋_GB2312" w:cs="仿宋_GB2312" w:eastAsia="仿宋_GB2312"/>
              </w:rPr>
              <w:t>任务2 知识问答智能体实现</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2.9.3</w:t>
            </w:r>
          </w:p>
        </w:tc>
        <w:tc>
          <w:tcPr>
            <w:tcW w:type="dxa" w:w="2076"/>
          </w:tcPr>
          <w:p>
            <w:pPr>
              <w:pStyle w:val="null5"/>
              <w:jc w:val="left"/>
            </w:pPr>
            <w:r>
              <w:rPr>
                <w:rFonts w:ascii="仿宋_GB2312" w:hAnsi="仿宋_GB2312" w:cs="仿宋_GB2312" w:eastAsia="仿宋_GB2312"/>
              </w:rPr>
              <w:t>任务3 内容生成智能体实现</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2.9.4</w:t>
            </w:r>
          </w:p>
        </w:tc>
        <w:tc>
          <w:tcPr>
            <w:tcW w:type="dxa" w:w="2076"/>
          </w:tcPr>
          <w:p>
            <w:pPr>
              <w:pStyle w:val="null5"/>
              <w:jc w:val="left"/>
            </w:pPr>
            <w:r>
              <w:rPr>
                <w:rFonts w:ascii="仿宋_GB2312" w:hAnsi="仿宋_GB2312" w:cs="仿宋_GB2312" w:eastAsia="仿宋_GB2312"/>
              </w:rPr>
              <w:t>任务4 智能体应用综合实践</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3、内容要求</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 xml:space="preserve"> 教材至少包含文本、表格、2D图形、3D图形、视频、动画演示、在线习题、拓展阅读、课后讨论等元素；内容紧跟教材主题所涉行业最新发展，可实时更新，保障知识的前沿性。</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完成数字教材配套课程资源建设，并支持在理实一体化数字平台及其他平台部署：</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3.2.1</w:t>
            </w:r>
          </w:p>
        </w:tc>
        <w:tc>
          <w:tcPr>
            <w:tcW w:type="dxa" w:w="2076"/>
          </w:tcPr>
          <w:p>
            <w:pPr>
              <w:pStyle w:val="null5"/>
              <w:jc w:val="left"/>
            </w:pPr>
            <w:r>
              <w:rPr>
                <w:rFonts w:ascii="仿宋_GB2312" w:hAnsi="仿宋_GB2312" w:cs="仿宋_GB2312" w:eastAsia="仿宋_GB2312"/>
              </w:rPr>
              <w:t>微课视频个数 ≥30 个，每个视频约10分钟。视频匹配教材内重点、难点，以视频形式讲解、演示；</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3.2.2</w:t>
            </w:r>
          </w:p>
        </w:tc>
        <w:tc>
          <w:tcPr>
            <w:tcW w:type="dxa" w:w="2076"/>
          </w:tcPr>
          <w:p>
            <w:pPr>
              <w:pStyle w:val="null5"/>
              <w:jc w:val="left"/>
            </w:pPr>
            <w:r>
              <w:rPr>
                <w:rFonts w:ascii="仿宋_GB2312" w:hAnsi="仿宋_GB2312" w:cs="仿宋_GB2312" w:eastAsia="仿宋_GB2312"/>
              </w:rPr>
              <w:t>图片≥50 个，以组合图片形式代替传统教材中单个插图；</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3.2.3</w:t>
            </w:r>
          </w:p>
        </w:tc>
        <w:tc>
          <w:tcPr>
            <w:tcW w:type="dxa" w:w="2076"/>
          </w:tcPr>
          <w:p>
            <w:pPr>
              <w:pStyle w:val="null5"/>
              <w:jc w:val="left"/>
            </w:pPr>
            <w:r>
              <w:rPr>
                <w:rFonts w:ascii="仿宋_GB2312" w:hAnsi="仿宋_GB2312" w:cs="仿宋_GB2312" w:eastAsia="仿宋_GB2312"/>
              </w:rPr>
              <w:t>课件：每个模块至少配一份课件，覆盖该模块全部内容，以 PPT 形式融合教学目标、参考资料、学习素材；</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3.2.4</w:t>
            </w:r>
          </w:p>
        </w:tc>
        <w:tc>
          <w:tcPr>
            <w:tcW w:type="dxa" w:w="2076"/>
          </w:tcPr>
          <w:p>
            <w:pPr>
              <w:pStyle w:val="null5"/>
              <w:jc w:val="left"/>
            </w:pPr>
            <w:r>
              <w:rPr>
                <w:rFonts w:ascii="仿宋_GB2312" w:hAnsi="仿宋_GB2312" w:cs="仿宋_GB2312" w:eastAsia="仿宋_GB2312"/>
              </w:rPr>
              <w:t>习题 ≥200 道，针对教材内容设置课后练习题；</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3.2.5</w:t>
            </w:r>
          </w:p>
        </w:tc>
        <w:tc>
          <w:tcPr>
            <w:tcW w:type="dxa" w:w="2076"/>
          </w:tcPr>
          <w:p>
            <w:pPr>
              <w:pStyle w:val="null5"/>
              <w:jc w:val="left"/>
            </w:pPr>
            <w:r>
              <w:rPr>
                <w:rFonts w:ascii="仿宋_GB2312" w:hAnsi="仿宋_GB2312" w:cs="仿宋_GB2312" w:eastAsia="仿宋_GB2312"/>
              </w:rPr>
              <w:t>课程标准 1 套，根据人才培养方案修订课程标准；</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3.2.6</w:t>
            </w:r>
          </w:p>
        </w:tc>
        <w:tc>
          <w:tcPr>
            <w:tcW w:type="dxa" w:w="2076"/>
          </w:tcPr>
          <w:p>
            <w:pPr>
              <w:pStyle w:val="null5"/>
              <w:jc w:val="left"/>
            </w:pPr>
            <w:r>
              <w:rPr>
                <w:rFonts w:ascii="仿宋_GB2312" w:hAnsi="仿宋_GB2312" w:cs="仿宋_GB2312" w:eastAsia="仿宋_GB2312"/>
              </w:rPr>
              <w:t>实验 ≥20 个。</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教材以模块化设计呈现，内容可灵活组合与更新，满足个性化学习需求，覆盖课程学习核心知识。每个教学模块辅以线上实验和案例分析。</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适应结构化、模块化的教学需求，以真实生产项目、典型工作任务、案例等为载体设计和组织教学单元。具有良好扩展性，满足快速更新需求。无政治性、科学性、知识性错误。</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3.5</w:t>
            </w:r>
          </w:p>
        </w:tc>
        <w:tc>
          <w:tcPr>
            <w:tcW w:type="dxa" w:w="2076"/>
          </w:tcPr>
          <w:p>
            <w:pPr>
              <w:pStyle w:val="null5"/>
              <w:jc w:val="left"/>
            </w:pPr>
            <w:r>
              <w:rPr>
                <w:rFonts w:ascii="仿宋_GB2312" w:hAnsi="仿宋_GB2312" w:cs="仿宋_GB2312" w:eastAsia="仿宋_GB2312"/>
              </w:rPr>
              <w:t>符合课程内在逻辑体系和学生认知发展规律，符合行业、企业人才培养目标，取材合适，支持学生自主学习和教师教学需求。</w:t>
            </w:r>
          </w:p>
        </w:tc>
      </w:tr>
    </w:tbl>
    <w:p>
      <w:pPr>
        <w:pStyle w:val="null5"/>
        <w:jc w:val="left"/>
      </w:pPr>
      <w:r>
        <w:rPr>
          <w:rFonts w:ascii="仿宋_GB2312" w:hAnsi="仿宋_GB2312" w:cs="仿宋_GB2312" w:eastAsia="仿宋_GB2312"/>
        </w:rPr>
        <w:t>标的名称：深度学习应用开发教学资源</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教材目标</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本教材围绕深度学习应用开发的基本流程进行组织，从基础知识与开发环境入手，逐步过渡到数据获取与处理、特征表示、模型构建与训练方法，并结合典型应用场景开展实践训练。在此基础上进一步介绍模型优化、模型部署以及应用系统开发等内容。课程以项目任务为主线，通过实践操作帮助学习者理解深度学习模型的基本原理与应用方法，逐步掌握数据处理、模型训练、模型优化和系统集成等关键技术，形成较为系统的深度学习应用开发能力。</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模块结构</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项目一 深度学习基础与开发环境准备</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2.1.1</w:t>
            </w:r>
          </w:p>
        </w:tc>
        <w:tc>
          <w:tcPr>
            <w:tcW w:type="dxa" w:w="2076"/>
          </w:tcPr>
          <w:p>
            <w:pPr>
              <w:pStyle w:val="null5"/>
              <w:jc w:val="left"/>
            </w:pPr>
            <w:r>
              <w:rPr>
                <w:rFonts w:ascii="仿宋_GB2312" w:hAnsi="仿宋_GB2312" w:cs="仿宋_GB2312" w:eastAsia="仿宋_GB2312"/>
              </w:rPr>
              <w:t>任务1 深度学习技术概述与发展趋势</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2.1.2</w:t>
            </w:r>
          </w:p>
        </w:tc>
        <w:tc>
          <w:tcPr>
            <w:tcW w:type="dxa" w:w="2076"/>
          </w:tcPr>
          <w:p>
            <w:pPr>
              <w:pStyle w:val="null5"/>
              <w:jc w:val="left"/>
            </w:pPr>
            <w:r>
              <w:rPr>
                <w:rFonts w:ascii="仿宋_GB2312" w:hAnsi="仿宋_GB2312" w:cs="仿宋_GB2312" w:eastAsia="仿宋_GB2312"/>
              </w:rPr>
              <w:t>任务2 神经网络基本结构与运行机制</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2.1.3</w:t>
            </w:r>
          </w:p>
        </w:tc>
        <w:tc>
          <w:tcPr>
            <w:tcW w:type="dxa" w:w="2076"/>
          </w:tcPr>
          <w:p>
            <w:pPr>
              <w:pStyle w:val="null5"/>
              <w:jc w:val="left"/>
            </w:pPr>
            <w:r>
              <w:rPr>
                <w:rFonts w:ascii="仿宋_GB2312" w:hAnsi="仿宋_GB2312" w:cs="仿宋_GB2312" w:eastAsia="仿宋_GB2312"/>
              </w:rPr>
              <w:t>任务3 主流深度学习框架及其特点</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2.1.4</w:t>
            </w:r>
          </w:p>
        </w:tc>
        <w:tc>
          <w:tcPr>
            <w:tcW w:type="dxa" w:w="2076"/>
          </w:tcPr>
          <w:p>
            <w:pPr>
              <w:pStyle w:val="null5"/>
              <w:jc w:val="left"/>
            </w:pPr>
            <w:r>
              <w:rPr>
                <w:rFonts w:ascii="仿宋_GB2312" w:hAnsi="仿宋_GB2312" w:cs="仿宋_GB2312" w:eastAsia="仿宋_GB2312"/>
              </w:rPr>
              <w:t>任务4 深度学习开发环境搭建与测试</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项目二 数据获取与训练数据集构建</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2.2.1</w:t>
            </w:r>
          </w:p>
        </w:tc>
        <w:tc>
          <w:tcPr>
            <w:tcW w:type="dxa" w:w="2076"/>
          </w:tcPr>
          <w:p>
            <w:pPr>
              <w:pStyle w:val="null5"/>
              <w:jc w:val="left"/>
            </w:pPr>
            <w:r>
              <w:rPr>
                <w:rFonts w:ascii="仿宋_GB2312" w:hAnsi="仿宋_GB2312" w:cs="仿宋_GB2312" w:eastAsia="仿宋_GB2312"/>
              </w:rPr>
              <w:t>任务1 深度学习任务中的数据类型与来源</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2.2.2</w:t>
            </w:r>
          </w:p>
        </w:tc>
        <w:tc>
          <w:tcPr>
            <w:tcW w:type="dxa" w:w="2076"/>
          </w:tcPr>
          <w:p>
            <w:pPr>
              <w:pStyle w:val="null5"/>
              <w:jc w:val="left"/>
            </w:pPr>
            <w:r>
              <w:rPr>
                <w:rFonts w:ascii="仿宋_GB2312" w:hAnsi="仿宋_GB2312" w:cs="仿宋_GB2312" w:eastAsia="仿宋_GB2312"/>
              </w:rPr>
              <w:t>任务2 图像、文本与结构化数据采集方法</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2.2.3</w:t>
            </w:r>
          </w:p>
        </w:tc>
        <w:tc>
          <w:tcPr>
            <w:tcW w:type="dxa" w:w="2076"/>
          </w:tcPr>
          <w:p>
            <w:pPr>
              <w:pStyle w:val="null5"/>
              <w:jc w:val="left"/>
            </w:pPr>
            <w:r>
              <w:rPr>
                <w:rFonts w:ascii="仿宋_GB2312" w:hAnsi="仿宋_GB2312" w:cs="仿宋_GB2312" w:eastAsia="仿宋_GB2312"/>
              </w:rPr>
              <w:t>任务3 数据清洗与数据整理实践</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2.2.4</w:t>
            </w:r>
          </w:p>
        </w:tc>
        <w:tc>
          <w:tcPr>
            <w:tcW w:type="dxa" w:w="2076"/>
          </w:tcPr>
          <w:p>
            <w:pPr>
              <w:pStyle w:val="null5"/>
              <w:jc w:val="left"/>
            </w:pPr>
            <w:r>
              <w:rPr>
                <w:rFonts w:ascii="仿宋_GB2312" w:hAnsi="仿宋_GB2312" w:cs="仿宋_GB2312" w:eastAsia="仿宋_GB2312"/>
              </w:rPr>
              <w:t>任务4 训练数据集构建流程与规范</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项目三 数据标注与数据预处理</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2.3.1</w:t>
            </w:r>
          </w:p>
        </w:tc>
        <w:tc>
          <w:tcPr>
            <w:tcW w:type="dxa" w:w="2076"/>
          </w:tcPr>
          <w:p>
            <w:pPr>
              <w:pStyle w:val="null5"/>
              <w:jc w:val="left"/>
            </w:pPr>
            <w:r>
              <w:rPr>
                <w:rFonts w:ascii="仿宋_GB2312" w:hAnsi="仿宋_GB2312" w:cs="仿宋_GB2312" w:eastAsia="仿宋_GB2312"/>
              </w:rPr>
              <w:t>任务1 数据标注原理与标注规范</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2.3.2</w:t>
            </w:r>
          </w:p>
        </w:tc>
        <w:tc>
          <w:tcPr>
            <w:tcW w:type="dxa" w:w="2076"/>
          </w:tcPr>
          <w:p>
            <w:pPr>
              <w:pStyle w:val="null5"/>
              <w:jc w:val="left"/>
            </w:pPr>
            <w:r>
              <w:rPr>
                <w:rFonts w:ascii="仿宋_GB2312" w:hAnsi="仿宋_GB2312" w:cs="仿宋_GB2312" w:eastAsia="仿宋_GB2312"/>
              </w:rPr>
              <w:t>任务2 常用数据标注工具使用</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2.3.3</w:t>
            </w:r>
          </w:p>
        </w:tc>
        <w:tc>
          <w:tcPr>
            <w:tcW w:type="dxa" w:w="2076"/>
          </w:tcPr>
          <w:p>
            <w:pPr>
              <w:pStyle w:val="null5"/>
              <w:jc w:val="left"/>
            </w:pPr>
            <w:r>
              <w:rPr>
                <w:rFonts w:ascii="仿宋_GB2312" w:hAnsi="仿宋_GB2312" w:cs="仿宋_GB2312" w:eastAsia="仿宋_GB2312"/>
              </w:rPr>
              <w:t>任务3 数据预处理方法与实践</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2.3.4</w:t>
            </w:r>
          </w:p>
        </w:tc>
        <w:tc>
          <w:tcPr>
            <w:tcW w:type="dxa" w:w="2076"/>
          </w:tcPr>
          <w:p>
            <w:pPr>
              <w:pStyle w:val="null5"/>
              <w:jc w:val="left"/>
            </w:pPr>
            <w:r>
              <w:rPr>
                <w:rFonts w:ascii="仿宋_GB2312" w:hAnsi="仿宋_GB2312" w:cs="仿宋_GB2312" w:eastAsia="仿宋_GB2312"/>
              </w:rPr>
              <w:t>任务4 数据增强技术与样本扩展</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项目四 深度学习特征表示方法</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2.4.1</w:t>
            </w:r>
          </w:p>
        </w:tc>
        <w:tc>
          <w:tcPr>
            <w:tcW w:type="dxa" w:w="2076"/>
          </w:tcPr>
          <w:p>
            <w:pPr>
              <w:pStyle w:val="null5"/>
              <w:jc w:val="left"/>
            </w:pPr>
            <w:r>
              <w:rPr>
                <w:rFonts w:ascii="仿宋_GB2312" w:hAnsi="仿宋_GB2312" w:cs="仿宋_GB2312" w:eastAsia="仿宋_GB2312"/>
              </w:rPr>
              <w:t>任务1 数据特征表示基础</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2.4.2</w:t>
            </w:r>
          </w:p>
        </w:tc>
        <w:tc>
          <w:tcPr>
            <w:tcW w:type="dxa" w:w="2076"/>
          </w:tcPr>
          <w:p>
            <w:pPr>
              <w:pStyle w:val="null5"/>
              <w:jc w:val="left"/>
            </w:pPr>
            <w:r>
              <w:rPr>
                <w:rFonts w:ascii="仿宋_GB2312" w:hAnsi="仿宋_GB2312" w:cs="仿宋_GB2312" w:eastAsia="仿宋_GB2312"/>
              </w:rPr>
              <w:t>任务2 图像特征提取方法</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2.4.3</w:t>
            </w:r>
          </w:p>
        </w:tc>
        <w:tc>
          <w:tcPr>
            <w:tcW w:type="dxa" w:w="2076"/>
          </w:tcPr>
          <w:p>
            <w:pPr>
              <w:pStyle w:val="null5"/>
              <w:jc w:val="left"/>
            </w:pPr>
            <w:r>
              <w:rPr>
                <w:rFonts w:ascii="仿宋_GB2312" w:hAnsi="仿宋_GB2312" w:cs="仿宋_GB2312" w:eastAsia="仿宋_GB2312"/>
              </w:rPr>
              <w:t>任务3 深度学习特征表示方法</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2.4.4</w:t>
            </w:r>
          </w:p>
        </w:tc>
        <w:tc>
          <w:tcPr>
            <w:tcW w:type="dxa" w:w="2076"/>
          </w:tcPr>
          <w:p>
            <w:pPr>
              <w:pStyle w:val="null5"/>
              <w:jc w:val="left"/>
            </w:pPr>
            <w:r>
              <w:rPr>
                <w:rFonts w:ascii="仿宋_GB2312" w:hAnsi="仿宋_GB2312" w:cs="仿宋_GB2312" w:eastAsia="仿宋_GB2312"/>
              </w:rPr>
              <w:t>任务4 特征表示与数据向量化实现</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项目五 深度学习模型构建与训练</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2.5.1</w:t>
            </w:r>
          </w:p>
        </w:tc>
        <w:tc>
          <w:tcPr>
            <w:tcW w:type="dxa" w:w="2076"/>
          </w:tcPr>
          <w:p>
            <w:pPr>
              <w:pStyle w:val="null5"/>
              <w:jc w:val="left"/>
            </w:pPr>
            <w:r>
              <w:rPr>
                <w:rFonts w:ascii="仿宋_GB2312" w:hAnsi="仿宋_GB2312" w:cs="仿宋_GB2312" w:eastAsia="仿宋_GB2312"/>
              </w:rPr>
              <w:t>任务1 神经网络模型结构设计</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2.5.2</w:t>
            </w:r>
          </w:p>
        </w:tc>
        <w:tc>
          <w:tcPr>
            <w:tcW w:type="dxa" w:w="2076"/>
          </w:tcPr>
          <w:p>
            <w:pPr>
              <w:pStyle w:val="null5"/>
              <w:jc w:val="left"/>
            </w:pPr>
            <w:r>
              <w:rPr>
                <w:rFonts w:ascii="仿宋_GB2312" w:hAnsi="仿宋_GB2312" w:cs="仿宋_GB2312" w:eastAsia="仿宋_GB2312"/>
              </w:rPr>
              <w:t>任务2 卷积神经网络基本原理</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2.5.3</w:t>
            </w:r>
          </w:p>
        </w:tc>
        <w:tc>
          <w:tcPr>
            <w:tcW w:type="dxa" w:w="2076"/>
          </w:tcPr>
          <w:p>
            <w:pPr>
              <w:pStyle w:val="null5"/>
              <w:jc w:val="left"/>
            </w:pPr>
            <w:r>
              <w:rPr>
                <w:rFonts w:ascii="仿宋_GB2312" w:hAnsi="仿宋_GB2312" w:cs="仿宋_GB2312" w:eastAsia="仿宋_GB2312"/>
              </w:rPr>
              <w:t>任务3 深度学习模型训练流程</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2.5.4</w:t>
            </w:r>
          </w:p>
        </w:tc>
        <w:tc>
          <w:tcPr>
            <w:tcW w:type="dxa" w:w="2076"/>
          </w:tcPr>
          <w:p>
            <w:pPr>
              <w:pStyle w:val="null5"/>
              <w:jc w:val="left"/>
            </w:pPr>
            <w:r>
              <w:rPr>
                <w:rFonts w:ascii="仿宋_GB2312" w:hAnsi="仿宋_GB2312" w:cs="仿宋_GB2312" w:eastAsia="仿宋_GB2312"/>
              </w:rPr>
              <w:t>任务4 模型训练参数配置与训练实践</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项目六 深度学习模型进阶应用</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2.6.1</w:t>
            </w:r>
          </w:p>
        </w:tc>
        <w:tc>
          <w:tcPr>
            <w:tcW w:type="dxa" w:w="2076"/>
          </w:tcPr>
          <w:p>
            <w:pPr>
              <w:pStyle w:val="null5"/>
              <w:jc w:val="left"/>
            </w:pPr>
            <w:r>
              <w:rPr>
                <w:rFonts w:ascii="仿宋_GB2312" w:hAnsi="仿宋_GB2312" w:cs="仿宋_GB2312" w:eastAsia="仿宋_GB2312"/>
              </w:rPr>
              <w:t>任务1 Transformer模型基本原理</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2.6.2</w:t>
            </w:r>
          </w:p>
        </w:tc>
        <w:tc>
          <w:tcPr>
            <w:tcW w:type="dxa" w:w="2076"/>
          </w:tcPr>
          <w:p>
            <w:pPr>
              <w:pStyle w:val="null5"/>
              <w:jc w:val="left"/>
            </w:pPr>
            <w:r>
              <w:rPr>
                <w:rFonts w:ascii="仿宋_GB2312" w:hAnsi="仿宋_GB2312" w:cs="仿宋_GB2312" w:eastAsia="仿宋_GB2312"/>
              </w:rPr>
              <w:t>任务2 预训练模型技术概述</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2.6.3</w:t>
            </w:r>
          </w:p>
        </w:tc>
        <w:tc>
          <w:tcPr>
            <w:tcW w:type="dxa" w:w="2076"/>
          </w:tcPr>
          <w:p>
            <w:pPr>
              <w:pStyle w:val="null5"/>
              <w:jc w:val="left"/>
            </w:pPr>
            <w:r>
              <w:rPr>
                <w:rFonts w:ascii="仿宋_GB2312" w:hAnsi="仿宋_GB2312" w:cs="仿宋_GB2312" w:eastAsia="仿宋_GB2312"/>
              </w:rPr>
              <w:t>任务3 预训练模型应用方法</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2.6.4</w:t>
            </w:r>
          </w:p>
        </w:tc>
        <w:tc>
          <w:tcPr>
            <w:tcW w:type="dxa" w:w="2076"/>
          </w:tcPr>
          <w:p>
            <w:pPr>
              <w:pStyle w:val="null5"/>
              <w:jc w:val="left"/>
            </w:pPr>
            <w:r>
              <w:rPr>
                <w:rFonts w:ascii="仿宋_GB2312" w:hAnsi="仿宋_GB2312" w:cs="仿宋_GB2312" w:eastAsia="仿宋_GB2312"/>
              </w:rPr>
              <w:t>任务4 深度学习模型迁移学习实践</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项目七 模型评估与训练优化</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2.7.1</w:t>
            </w:r>
          </w:p>
        </w:tc>
        <w:tc>
          <w:tcPr>
            <w:tcW w:type="dxa" w:w="2076"/>
          </w:tcPr>
          <w:p>
            <w:pPr>
              <w:pStyle w:val="null5"/>
              <w:jc w:val="left"/>
            </w:pPr>
            <w:r>
              <w:rPr>
                <w:rFonts w:ascii="仿宋_GB2312" w:hAnsi="仿宋_GB2312" w:cs="仿宋_GB2312" w:eastAsia="仿宋_GB2312"/>
              </w:rPr>
              <w:t>任务1 模型评估指标及计算方法</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2.7.2</w:t>
            </w:r>
          </w:p>
        </w:tc>
        <w:tc>
          <w:tcPr>
            <w:tcW w:type="dxa" w:w="2076"/>
          </w:tcPr>
          <w:p>
            <w:pPr>
              <w:pStyle w:val="null5"/>
              <w:jc w:val="left"/>
            </w:pPr>
            <w:r>
              <w:rPr>
                <w:rFonts w:ascii="仿宋_GB2312" w:hAnsi="仿宋_GB2312" w:cs="仿宋_GB2312" w:eastAsia="仿宋_GB2312"/>
              </w:rPr>
              <w:t>任务2 模型训练结果分析</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2.7.3</w:t>
            </w:r>
          </w:p>
        </w:tc>
        <w:tc>
          <w:tcPr>
            <w:tcW w:type="dxa" w:w="2076"/>
          </w:tcPr>
          <w:p>
            <w:pPr>
              <w:pStyle w:val="null5"/>
              <w:jc w:val="left"/>
            </w:pPr>
            <w:r>
              <w:rPr>
                <w:rFonts w:ascii="仿宋_GB2312" w:hAnsi="仿宋_GB2312" w:cs="仿宋_GB2312" w:eastAsia="仿宋_GB2312"/>
              </w:rPr>
              <w:t>任务3 模型调参与优化策略</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2.7.4</w:t>
            </w:r>
          </w:p>
        </w:tc>
        <w:tc>
          <w:tcPr>
            <w:tcW w:type="dxa" w:w="2076"/>
          </w:tcPr>
          <w:p>
            <w:pPr>
              <w:pStyle w:val="null5"/>
              <w:jc w:val="left"/>
            </w:pPr>
            <w:r>
              <w:rPr>
                <w:rFonts w:ascii="仿宋_GB2312" w:hAnsi="仿宋_GB2312" w:cs="仿宋_GB2312" w:eastAsia="仿宋_GB2312"/>
              </w:rPr>
              <w:t>任务4 模型性能提升实践</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2.8</w:t>
            </w:r>
          </w:p>
        </w:tc>
        <w:tc>
          <w:tcPr>
            <w:tcW w:type="dxa" w:w="2076"/>
          </w:tcPr>
          <w:p>
            <w:pPr>
              <w:pStyle w:val="null5"/>
              <w:jc w:val="left"/>
            </w:pPr>
            <w:r>
              <w:rPr>
                <w:rFonts w:ascii="仿宋_GB2312" w:hAnsi="仿宋_GB2312" w:cs="仿宋_GB2312" w:eastAsia="仿宋_GB2312"/>
              </w:rPr>
              <w:t>项目八 模型压缩与部署应用</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2.8.1</w:t>
            </w:r>
          </w:p>
        </w:tc>
        <w:tc>
          <w:tcPr>
            <w:tcW w:type="dxa" w:w="2076"/>
          </w:tcPr>
          <w:p>
            <w:pPr>
              <w:pStyle w:val="null5"/>
              <w:jc w:val="left"/>
            </w:pPr>
            <w:r>
              <w:rPr>
                <w:rFonts w:ascii="仿宋_GB2312" w:hAnsi="仿宋_GB2312" w:cs="仿宋_GB2312" w:eastAsia="仿宋_GB2312"/>
              </w:rPr>
              <w:t>任务1 模型压缩与模型加速方法</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2.8.2</w:t>
            </w:r>
          </w:p>
        </w:tc>
        <w:tc>
          <w:tcPr>
            <w:tcW w:type="dxa" w:w="2076"/>
          </w:tcPr>
          <w:p>
            <w:pPr>
              <w:pStyle w:val="null5"/>
              <w:jc w:val="left"/>
            </w:pPr>
            <w:r>
              <w:rPr>
                <w:rFonts w:ascii="仿宋_GB2312" w:hAnsi="仿宋_GB2312" w:cs="仿宋_GB2312" w:eastAsia="仿宋_GB2312"/>
              </w:rPr>
              <w:t>任务2 深度学习模型部署技术</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2.8.3</w:t>
            </w:r>
          </w:p>
        </w:tc>
        <w:tc>
          <w:tcPr>
            <w:tcW w:type="dxa" w:w="2076"/>
          </w:tcPr>
          <w:p>
            <w:pPr>
              <w:pStyle w:val="null5"/>
              <w:jc w:val="left"/>
            </w:pPr>
            <w:r>
              <w:rPr>
                <w:rFonts w:ascii="仿宋_GB2312" w:hAnsi="仿宋_GB2312" w:cs="仿宋_GB2312" w:eastAsia="仿宋_GB2312"/>
              </w:rPr>
              <w:t>任务3 推理系统构建方法</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2.8.4</w:t>
            </w:r>
          </w:p>
        </w:tc>
        <w:tc>
          <w:tcPr>
            <w:tcW w:type="dxa" w:w="2076"/>
          </w:tcPr>
          <w:p>
            <w:pPr>
              <w:pStyle w:val="null5"/>
              <w:jc w:val="left"/>
            </w:pPr>
            <w:r>
              <w:rPr>
                <w:rFonts w:ascii="仿宋_GB2312" w:hAnsi="仿宋_GB2312" w:cs="仿宋_GB2312" w:eastAsia="仿宋_GB2312"/>
              </w:rPr>
              <w:t>任务4 模型部署与运行测试</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内容要求：</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教材至少包含文本、表格、2D图形、3D图形、视频、动画演示、在线习题、拓展阅读、课后讨论等元素；内容紧跟教材主题所涉行业最新发展，可实时更新，保障知识的前沿性。</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完成数字教材配套课程资源建设，并在理实一体化数字平台部署：</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3.2.1</w:t>
            </w:r>
          </w:p>
        </w:tc>
        <w:tc>
          <w:tcPr>
            <w:tcW w:type="dxa" w:w="2076"/>
          </w:tcPr>
          <w:p>
            <w:pPr>
              <w:pStyle w:val="null5"/>
              <w:jc w:val="left"/>
            </w:pPr>
            <w:r>
              <w:rPr>
                <w:rFonts w:ascii="仿宋_GB2312" w:hAnsi="仿宋_GB2312" w:cs="仿宋_GB2312" w:eastAsia="仿宋_GB2312"/>
              </w:rPr>
              <w:t>微课视频个数 ≥16个（根据学分课时调整），每个视频约10分钟。视频匹配教材内重点、难点，以视频形式讲解、演示；</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3.2.2</w:t>
            </w:r>
          </w:p>
        </w:tc>
        <w:tc>
          <w:tcPr>
            <w:tcW w:type="dxa" w:w="2076"/>
          </w:tcPr>
          <w:p>
            <w:pPr>
              <w:pStyle w:val="null5"/>
              <w:jc w:val="left"/>
            </w:pPr>
            <w:r>
              <w:rPr>
                <w:rFonts w:ascii="仿宋_GB2312" w:hAnsi="仿宋_GB2312" w:cs="仿宋_GB2312" w:eastAsia="仿宋_GB2312"/>
              </w:rPr>
              <w:t>图片 ≥50 个，图表清晰、标注规范；</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3.2.3</w:t>
            </w:r>
          </w:p>
        </w:tc>
        <w:tc>
          <w:tcPr>
            <w:tcW w:type="dxa" w:w="2076"/>
          </w:tcPr>
          <w:p>
            <w:pPr>
              <w:pStyle w:val="null5"/>
              <w:jc w:val="left"/>
            </w:pPr>
            <w:r>
              <w:rPr>
                <w:rFonts w:ascii="仿宋_GB2312" w:hAnsi="仿宋_GB2312" w:cs="仿宋_GB2312" w:eastAsia="仿宋_GB2312"/>
              </w:rPr>
              <w:t>课件：每个模块至少一份课件，覆盖该模块全部内容，以 PPT 形式融合教学目标、参考资料、学习素材；</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3.2.4</w:t>
            </w:r>
          </w:p>
        </w:tc>
        <w:tc>
          <w:tcPr>
            <w:tcW w:type="dxa" w:w="2076"/>
          </w:tcPr>
          <w:p>
            <w:pPr>
              <w:pStyle w:val="null5"/>
              <w:jc w:val="left"/>
            </w:pPr>
            <w:r>
              <w:rPr>
                <w:rFonts w:ascii="仿宋_GB2312" w:hAnsi="仿宋_GB2312" w:cs="仿宋_GB2312" w:eastAsia="仿宋_GB2312"/>
              </w:rPr>
              <w:t>习题 ≥150 道，针对教材内容设置课后练习题；</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教材以模块化设计呈现，内容可组合与更新，满足个性化学习需求，覆盖课程学习核心知识。每个教学模块辅以线上实验和案例分析，突出实用性和实战性。</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适应结构化、模块化的教学需求，以真实生产项目、典型工作任务、案例等为载体设计和组织教学单元。具有良好扩展性，满足快速更新需求。无政治性、科学性、知识性错误。</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3.5</w:t>
            </w:r>
          </w:p>
        </w:tc>
        <w:tc>
          <w:tcPr>
            <w:tcW w:type="dxa" w:w="2076"/>
          </w:tcPr>
          <w:p>
            <w:pPr>
              <w:pStyle w:val="null5"/>
              <w:jc w:val="left"/>
            </w:pPr>
            <w:r>
              <w:rPr>
                <w:rFonts w:ascii="仿宋_GB2312" w:hAnsi="仿宋_GB2312" w:cs="仿宋_GB2312" w:eastAsia="仿宋_GB2312"/>
              </w:rPr>
              <w:t>符合课程内在逻辑体系和学生认知发展规律，符合行业、企业人才培养目标，取材合适，支持学生自主学习和教师教学需求。</w:t>
            </w:r>
          </w:p>
        </w:tc>
      </w:tr>
    </w:tbl>
    <w:p>
      <w:pPr>
        <w:pStyle w:val="null5"/>
        <w:jc w:val="left"/>
      </w:pPr>
      <w:r>
        <w:rPr>
          <w:rFonts w:ascii="仿宋_GB2312" w:hAnsi="仿宋_GB2312" w:cs="仿宋_GB2312" w:eastAsia="仿宋_GB2312"/>
        </w:rPr>
        <w:t>标的名称：自然语言应用开发教学资源</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教材目标</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本课程围绕自然语言处理应用开发的基本流程展开，从文本数据获取与预 处理入手，逐步介绍文本特征表示、文本分类模型构建以及自然语言理解相关技术，并结合实际应用场景开展实践训练。通过项目化任务的学习方式，引导学习者掌握文本数据处理、模型训练、结果分析以及应用系统开发等关键环节，培养运用自然语言处理技术解决实际问题的能力。</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模块结构</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项目一 自然语言处理基础与开发环境准备</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2.1.1</w:t>
            </w:r>
          </w:p>
        </w:tc>
        <w:tc>
          <w:tcPr>
            <w:tcW w:type="dxa" w:w="2076"/>
          </w:tcPr>
          <w:p>
            <w:pPr>
              <w:pStyle w:val="null5"/>
              <w:jc w:val="left"/>
            </w:pPr>
            <w:r>
              <w:rPr>
                <w:rFonts w:ascii="仿宋_GB2312" w:hAnsi="仿宋_GB2312" w:cs="仿宋_GB2312" w:eastAsia="仿宋_GB2312"/>
              </w:rPr>
              <w:t>任务1 自然语言处理技术概述</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2.1.2</w:t>
            </w:r>
          </w:p>
        </w:tc>
        <w:tc>
          <w:tcPr>
            <w:tcW w:type="dxa" w:w="2076"/>
          </w:tcPr>
          <w:p>
            <w:pPr>
              <w:pStyle w:val="null5"/>
              <w:jc w:val="left"/>
            </w:pPr>
            <w:r>
              <w:rPr>
                <w:rFonts w:ascii="仿宋_GB2312" w:hAnsi="仿宋_GB2312" w:cs="仿宋_GB2312" w:eastAsia="仿宋_GB2312"/>
              </w:rPr>
              <w:t>任务2 自然语言处理基本任务与应用场景</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2.1.3</w:t>
            </w:r>
          </w:p>
        </w:tc>
        <w:tc>
          <w:tcPr>
            <w:tcW w:type="dxa" w:w="2076"/>
          </w:tcPr>
          <w:p>
            <w:pPr>
              <w:pStyle w:val="null5"/>
              <w:jc w:val="left"/>
            </w:pPr>
            <w:r>
              <w:rPr>
                <w:rFonts w:ascii="仿宋_GB2312" w:hAnsi="仿宋_GB2312" w:cs="仿宋_GB2312" w:eastAsia="仿宋_GB2312"/>
              </w:rPr>
              <w:t>任务3 自然语言处理开发环境搭建</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2.1.4</w:t>
            </w:r>
          </w:p>
        </w:tc>
        <w:tc>
          <w:tcPr>
            <w:tcW w:type="dxa" w:w="2076"/>
          </w:tcPr>
          <w:p>
            <w:pPr>
              <w:pStyle w:val="null5"/>
              <w:jc w:val="left"/>
            </w:pPr>
            <w:r>
              <w:rPr>
                <w:rFonts w:ascii="仿宋_GB2312" w:hAnsi="仿宋_GB2312" w:cs="仿宋_GB2312" w:eastAsia="仿宋_GB2312"/>
              </w:rPr>
              <w:t>任务4 文本数据获取与整理</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项目二 文本数据集构建与数据管理</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2.2.1</w:t>
            </w:r>
          </w:p>
        </w:tc>
        <w:tc>
          <w:tcPr>
            <w:tcW w:type="dxa" w:w="2076"/>
          </w:tcPr>
          <w:p>
            <w:pPr>
              <w:pStyle w:val="null5"/>
              <w:jc w:val="left"/>
            </w:pPr>
            <w:r>
              <w:rPr>
                <w:rFonts w:ascii="仿宋_GB2312" w:hAnsi="仿宋_GB2312" w:cs="仿宋_GB2312" w:eastAsia="仿宋_GB2312"/>
              </w:rPr>
              <w:t>任务1 文本数据类型与数据来源</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2.2.2</w:t>
            </w:r>
          </w:p>
        </w:tc>
        <w:tc>
          <w:tcPr>
            <w:tcW w:type="dxa" w:w="2076"/>
          </w:tcPr>
          <w:p>
            <w:pPr>
              <w:pStyle w:val="null5"/>
              <w:jc w:val="left"/>
            </w:pPr>
            <w:r>
              <w:rPr>
                <w:rFonts w:ascii="仿宋_GB2312" w:hAnsi="仿宋_GB2312" w:cs="仿宋_GB2312" w:eastAsia="仿宋_GB2312"/>
              </w:rPr>
              <w:t>任务2 文本数据整理与数据规范化</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2.2.3</w:t>
            </w:r>
          </w:p>
        </w:tc>
        <w:tc>
          <w:tcPr>
            <w:tcW w:type="dxa" w:w="2076"/>
          </w:tcPr>
          <w:p>
            <w:pPr>
              <w:pStyle w:val="null5"/>
              <w:jc w:val="left"/>
            </w:pPr>
            <w:r>
              <w:rPr>
                <w:rFonts w:ascii="仿宋_GB2312" w:hAnsi="仿宋_GB2312" w:cs="仿宋_GB2312" w:eastAsia="仿宋_GB2312"/>
              </w:rPr>
              <w:t>任务3 文本数据集构建方法</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2.2.4</w:t>
            </w:r>
          </w:p>
        </w:tc>
        <w:tc>
          <w:tcPr>
            <w:tcW w:type="dxa" w:w="2076"/>
          </w:tcPr>
          <w:p>
            <w:pPr>
              <w:pStyle w:val="null5"/>
              <w:jc w:val="left"/>
            </w:pPr>
            <w:r>
              <w:rPr>
                <w:rFonts w:ascii="仿宋_GB2312" w:hAnsi="仿宋_GB2312" w:cs="仿宋_GB2312" w:eastAsia="仿宋_GB2312"/>
              </w:rPr>
              <w:t>任务4 数据集划分与管理</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项目三 文本预处理技术</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2.3.1</w:t>
            </w:r>
          </w:p>
        </w:tc>
        <w:tc>
          <w:tcPr>
            <w:tcW w:type="dxa" w:w="2076"/>
          </w:tcPr>
          <w:p>
            <w:pPr>
              <w:pStyle w:val="null5"/>
              <w:jc w:val="left"/>
            </w:pPr>
            <w:r>
              <w:rPr>
                <w:rFonts w:ascii="仿宋_GB2312" w:hAnsi="仿宋_GB2312" w:cs="仿宋_GB2312" w:eastAsia="仿宋_GB2312"/>
              </w:rPr>
              <w:t>任务1 文本清洗与格式处理方法</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2.3.2</w:t>
            </w:r>
          </w:p>
        </w:tc>
        <w:tc>
          <w:tcPr>
            <w:tcW w:type="dxa" w:w="2076"/>
          </w:tcPr>
          <w:p>
            <w:pPr>
              <w:pStyle w:val="null5"/>
              <w:jc w:val="left"/>
            </w:pPr>
            <w:r>
              <w:rPr>
                <w:rFonts w:ascii="仿宋_GB2312" w:hAnsi="仿宋_GB2312" w:cs="仿宋_GB2312" w:eastAsia="仿宋_GB2312"/>
              </w:rPr>
              <w:t>任务2 中文分词技术与实现</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2.3.3</w:t>
            </w:r>
          </w:p>
        </w:tc>
        <w:tc>
          <w:tcPr>
            <w:tcW w:type="dxa" w:w="2076"/>
          </w:tcPr>
          <w:p>
            <w:pPr>
              <w:pStyle w:val="null5"/>
              <w:jc w:val="left"/>
            </w:pPr>
            <w:r>
              <w:rPr>
                <w:rFonts w:ascii="仿宋_GB2312" w:hAnsi="仿宋_GB2312" w:cs="仿宋_GB2312" w:eastAsia="仿宋_GB2312"/>
              </w:rPr>
              <w:t>任务3 词性标注与基础语言处理</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2.3.4</w:t>
            </w:r>
          </w:p>
        </w:tc>
        <w:tc>
          <w:tcPr>
            <w:tcW w:type="dxa" w:w="2076"/>
          </w:tcPr>
          <w:p>
            <w:pPr>
              <w:pStyle w:val="null5"/>
              <w:jc w:val="left"/>
            </w:pPr>
            <w:r>
              <w:rPr>
                <w:rFonts w:ascii="仿宋_GB2312" w:hAnsi="仿宋_GB2312" w:cs="仿宋_GB2312" w:eastAsia="仿宋_GB2312"/>
              </w:rPr>
              <w:t>任务4 停用词处理与文本预处理实践</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项目四 文本特征表示与向量化</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2.4.1</w:t>
            </w:r>
          </w:p>
        </w:tc>
        <w:tc>
          <w:tcPr>
            <w:tcW w:type="dxa" w:w="2076"/>
          </w:tcPr>
          <w:p>
            <w:pPr>
              <w:pStyle w:val="null5"/>
              <w:jc w:val="left"/>
            </w:pPr>
            <w:r>
              <w:rPr>
                <w:rFonts w:ascii="仿宋_GB2312" w:hAnsi="仿宋_GB2312" w:cs="仿宋_GB2312" w:eastAsia="仿宋_GB2312"/>
              </w:rPr>
              <w:t>任务1 文本特征表示基础方法</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2.4.2</w:t>
            </w:r>
          </w:p>
        </w:tc>
        <w:tc>
          <w:tcPr>
            <w:tcW w:type="dxa" w:w="2076"/>
          </w:tcPr>
          <w:p>
            <w:pPr>
              <w:pStyle w:val="null5"/>
              <w:jc w:val="left"/>
            </w:pPr>
            <w:r>
              <w:rPr>
                <w:rFonts w:ascii="仿宋_GB2312" w:hAnsi="仿宋_GB2312" w:cs="仿宋_GB2312" w:eastAsia="仿宋_GB2312"/>
              </w:rPr>
              <w:t>任务2 词袋模型与TF-IDF特征表示</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2.4.3</w:t>
            </w:r>
          </w:p>
        </w:tc>
        <w:tc>
          <w:tcPr>
            <w:tcW w:type="dxa" w:w="2076"/>
          </w:tcPr>
          <w:p>
            <w:pPr>
              <w:pStyle w:val="null5"/>
              <w:jc w:val="left"/>
            </w:pPr>
            <w:r>
              <w:rPr>
                <w:rFonts w:ascii="仿宋_GB2312" w:hAnsi="仿宋_GB2312" w:cs="仿宋_GB2312" w:eastAsia="仿宋_GB2312"/>
              </w:rPr>
              <w:t>任务3 词向量表示方法</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2.4.4</w:t>
            </w:r>
          </w:p>
        </w:tc>
        <w:tc>
          <w:tcPr>
            <w:tcW w:type="dxa" w:w="2076"/>
          </w:tcPr>
          <w:p>
            <w:pPr>
              <w:pStyle w:val="null5"/>
              <w:jc w:val="left"/>
            </w:pPr>
            <w:r>
              <w:rPr>
                <w:rFonts w:ascii="仿宋_GB2312" w:hAnsi="仿宋_GB2312" w:cs="仿宋_GB2312" w:eastAsia="仿宋_GB2312"/>
              </w:rPr>
              <w:t>任务4 文本向量化处理实践</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项目五 文本分类模型构建</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2.5.1</w:t>
            </w:r>
          </w:p>
        </w:tc>
        <w:tc>
          <w:tcPr>
            <w:tcW w:type="dxa" w:w="2076"/>
          </w:tcPr>
          <w:p>
            <w:pPr>
              <w:pStyle w:val="null5"/>
              <w:jc w:val="left"/>
            </w:pPr>
            <w:r>
              <w:rPr>
                <w:rFonts w:ascii="仿宋_GB2312" w:hAnsi="仿宋_GB2312" w:cs="仿宋_GB2312" w:eastAsia="仿宋_GB2312"/>
              </w:rPr>
              <w:t>任务1 文本分类任务流程与基本原理</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2.5.2</w:t>
            </w:r>
          </w:p>
        </w:tc>
        <w:tc>
          <w:tcPr>
            <w:tcW w:type="dxa" w:w="2076"/>
          </w:tcPr>
          <w:p>
            <w:pPr>
              <w:pStyle w:val="null5"/>
              <w:jc w:val="left"/>
            </w:pPr>
            <w:r>
              <w:rPr>
                <w:rFonts w:ascii="仿宋_GB2312" w:hAnsi="仿宋_GB2312" w:cs="仿宋_GB2312" w:eastAsia="仿宋_GB2312"/>
              </w:rPr>
              <w:t>任务2 机器学习文本分类模型构建</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2.5.3</w:t>
            </w:r>
          </w:p>
        </w:tc>
        <w:tc>
          <w:tcPr>
            <w:tcW w:type="dxa" w:w="2076"/>
          </w:tcPr>
          <w:p>
            <w:pPr>
              <w:pStyle w:val="null5"/>
              <w:jc w:val="left"/>
            </w:pPr>
            <w:r>
              <w:rPr>
                <w:rFonts w:ascii="仿宋_GB2312" w:hAnsi="仿宋_GB2312" w:cs="仿宋_GB2312" w:eastAsia="仿宋_GB2312"/>
              </w:rPr>
              <w:t>任务3 文本分类模型训练实践</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2.5.4</w:t>
            </w:r>
          </w:p>
        </w:tc>
        <w:tc>
          <w:tcPr>
            <w:tcW w:type="dxa" w:w="2076"/>
          </w:tcPr>
          <w:p>
            <w:pPr>
              <w:pStyle w:val="null5"/>
              <w:jc w:val="left"/>
            </w:pPr>
            <w:r>
              <w:rPr>
                <w:rFonts w:ascii="仿宋_GB2312" w:hAnsi="仿宋_GB2312" w:cs="仿宋_GB2312" w:eastAsia="仿宋_GB2312"/>
              </w:rPr>
              <w:t>任务4 分类结果测试与分析</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项目六 自然语言理解技术应用</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2.6.1</w:t>
            </w:r>
          </w:p>
        </w:tc>
        <w:tc>
          <w:tcPr>
            <w:tcW w:type="dxa" w:w="2076"/>
          </w:tcPr>
          <w:p>
            <w:pPr>
              <w:pStyle w:val="null5"/>
              <w:jc w:val="left"/>
            </w:pPr>
            <w:r>
              <w:rPr>
                <w:rFonts w:ascii="仿宋_GB2312" w:hAnsi="仿宋_GB2312" w:cs="仿宋_GB2312" w:eastAsia="仿宋_GB2312"/>
              </w:rPr>
              <w:t>任务1 关键词提取方法与实现</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2.6.2</w:t>
            </w:r>
          </w:p>
        </w:tc>
        <w:tc>
          <w:tcPr>
            <w:tcW w:type="dxa" w:w="2076"/>
          </w:tcPr>
          <w:p>
            <w:pPr>
              <w:pStyle w:val="null5"/>
              <w:jc w:val="left"/>
            </w:pPr>
            <w:r>
              <w:rPr>
                <w:rFonts w:ascii="仿宋_GB2312" w:hAnsi="仿宋_GB2312" w:cs="仿宋_GB2312" w:eastAsia="仿宋_GB2312"/>
              </w:rPr>
              <w:t>任务2 文本情感分析技术</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2.6.3</w:t>
            </w:r>
          </w:p>
        </w:tc>
        <w:tc>
          <w:tcPr>
            <w:tcW w:type="dxa" w:w="2076"/>
          </w:tcPr>
          <w:p>
            <w:pPr>
              <w:pStyle w:val="null5"/>
              <w:jc w:val="left"/>
            </w:pPr>
            <w:r>
              <w:rPr>
                <w:rFonts w:ascii="仿宋_GB2312" w:hAnsi="仿宋_GB2312" w:cs="仿宋_GB2312" w:eastAsia="仿宋_GB2312"/>
              </w:rPr>
              <w:t>任务3 信息抽取技术基础</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2.6.4</w:t>
            </w:r>
          </w:p>
        </w:tc>
        <w:tc>
          <w:tcPr>
            <w:tcW w:type="dxa" w:w="2076"/>
          </w:tcPr>
          <w:p>
            <w:pPr>
              <w:pStyle w:val="null5"/>
              <w:jc w:val="left"/>
            </w:pPr>
            <w:r>
              <w:rPr>
                <w:rFonts w:ascii="仿宋_GB2312" w:hAnsi="仿宋_GB2312" w:cs="仿宋_GB2312" w:eastAsia="仿宋_GB2312"/>
              </w:rPr>
              <w:t>任务4 自然语言理解应用实践</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项目七 自然语言处理模型部署</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2.7.1</w:t>
            </w:r>
          </w:p>
        </w:tc>
        <w:tc>
          <w:tcPr>
            <w:tcW w:type="dxa" w:w="2076"/>
          </w:tcPr>
          <w:p>
            <w:pPr>
              <w:pStyle w:val="null5"/>
              <w:jc w:val="left"/>
            </w:pPr>
            <w:r>
              <w:rPr>
                <w:rFonts w:ascii="仿宋_GB2312" w:hAnsi="仿宋_GB2312" w:cs="仿宋_GB2312" w:eastAsia="仿宋_GB2312"/>
              </w:rPr>
              <w:t>任务1 自然语言处理模型运行流程</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2.7.2</w:t>
            </w:r>
          </w:p>
        </w:tc>
        <w:tc>
          <w:tcPr>
            <w:tcW w:type="dxa" w:w="2076"/>
          </w:tcPr>
          <w:p>
            <w:pPr>
              <w:pStyle w:val="null5"/>
              <w:jc w:val="left"/>
            </w:pPr>
            <w:r>
              <w:rPr>
                <w:rFonts w:ascii="仿宋_GB2312" w:hAnsi="仿宋_GB2312" w:cs="仿宋_GB2312" w:eastAsia="仿宋_GB2312"/>
              </w:rPr>
              <w:t>任务2 模型部署方法与实现</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2.7.3</w:t>
            </w:r>
          </w:p>
        </w:tc>
        <w:tc>
          <w:tcPr>
            <w:tcW w:type="dxa" w:w="2076"/>
          </w:tcPr>
          <w:p>
            <w:pPr>
              <w:pStyle w:val="null5"/>
              <w:jc w:val="left"/>
            </w:pPr>
            <w:r>
              <w:rPr>
                <w:rFonts w:ascii="仿宋_GB2312" w:hAnsi="仿宋_GB2312" w:cs="仿宋_GB2312" w:eastAsia="仿宋_GB2312"/>
              </w:rPr>
              <w:t>任务3 文本处理服务接口开发</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2.7.4</w:t>
            </w:r>
          </w:p>
        </w:tc>
        <w:tc>
          <w:tcPr>
            <w:tcW w:type="dxa" w:w="2076"/>
          </w:tcPr>
          <w:p>
            <w:pPr>
              <w:pStyle w:val="null5"/>
              <w:jc w:val="left"/>
            </w:pPr>
            <w:r>
              <w:rPr>
                <w:rFonts w:ascii="仿宋_GB2312" w:hAnsi="仿宋_GB2312" w:cs="仿宋_GB2312" w:eastAsia="仿宋_GB2312"/>
              </w:rPr>
              <w:t>任务4 模型运行与性能测试</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2.8</w:t>
            </w:r>
          </w:p>
        </w:tc>
        <w:tc>
          <w:tcPr>
            <w:tcW w:type="dxa" w:w="2076"/>
          </w:tcPr>
          <w:p>
            <w:pPr>
              <w:pStyle w:val="null5"/>
              <w:jc w:val="left"/>
            </w:pPr>
            <w:r>
              <w:rPr>
                <w:rFonts w:ascii="仿宋_GB2312" w:hAnsi="仿宋_GB2312" w:cs="仿宋_GB2312" w:eastAsia="仿宋_GB2312"/>
              </w:rPr>
              <w:t>项目八 自然语言应用系统开发</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2.8.1</w:t>
            </w:r>
          </w:p>
        </w:tc>
        <w:tc>
          <w:tcPr>
            <w:tcW w:type="dxa" w:w="2076"/>
          </w:tcPr>
          <w:p>
            <w:pPr>
              <w:pStyle w:val="null5"/>
              <w:jc w:val="left"/>
            </w:pPr>
            <w:r>
              <w:rPr>
                <w:rFonts w:ascii="仿宋_GB2312" w:hAnsi="仿宋_GB2312" w:cs="仿宋_GB2312" w:eastAsia="仿宋_GB2312"/>
              </w:rPr>
              <w:t>任务1 文本分析系统架构设计</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2.8.2</w:t>
            </w:r>
          </w:p>
        </w:tc>
        <w:tc>
          <w:tcPr>
            <w:tcW w:type="dxa" w:w="2076"/>
          </w:tcPr>
          <w:p>
            <w:pPr>
              <w:pStyle w:val="null5"/>
              <w:jc w:val="left"/>
            </w:pPr>
            <w:r>
              <w:rPr>
                <w:rFonts w:ascii="仿宋_GB2312" w:hAnsi="仿宋_GB2312" w:cs="仿宋_GB2312" w:eastAsia="仿宋_GB2312"/>
              </w:rPr>
              <w:t>任务2 文本分析功能模块开发</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2.8.3</w:t>
            </w:r>
          </w:p>
        </w:tc>
        <w:tc>
          <w:tcPr>
            <w:tcW w:type="dxa" w:w="2076"/>
          </w:tcPr>
          <w:p>
            <w:pPr>
              <w:pStyle w:val="null5"/>
              <w:jc w:val="left"/>
            </w:pPr>
            <w:r>
              <w:rPr>
                <w:rFonts w:ascii="仿宋_GB2312" w:hAnsi="仿宋_GB2312" w:cs="仿宋_GB2312" w:eastAsia="仿宋_GB2312"/>
              </w:rPr>
              <w:t>任务3 文本分析结果可视化展示</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2.8.4</w:t>
            </w:r>
          </w:p>
        </w:tc>
        <w:tc>
          <w:tcPr>
            <w:tcW w:type="dxa" w:w="2076"/>
          </w:tcPr>
          <w:p>
            <w:pPr>
              <w:pStyle w:val="null5"/>
              <w:jc w:val="left"/>
            </w:pPr>
            <w:r>
              <w:rPr>
                <w:rFonts w:ascii="仿宋_GB2312" w:hAnsi="仿宋_GB2312" w:cs="仿宋_GB2312" w:eastAsia="仿宋_GB2312"/>
              </w:rPr>
              <w:t>任务4 自然语言应用系统集成与实现</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内容要求：</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 xml:space="preserve"> 教材至少包含文本、表格、2D图形、3D图形、视频、动画演示、在线习题、拓展阅读、课后讨论等元素；内容紧跟教材主题所涉行业最新发展，可实时更新，保障知识的前沿性。</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完成数字教材配套课程资源建设，并支持在AI可视化仿真学习系统及其他云平台部署：</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3.2.1</w:t>
            </w:r>
          </w:p>
        </w:tc>
        <w:tc>
          <w:tcPr>
            <w:tcW w:type="dxa" w:w="2076"/>
          </w:tcPr>
          <w:p>
            <w:pPr>
              <w:pStyle w:val="null5"/>
              <w:jc w:val="left"/>
            </w:pPr>
            <w:r>
              <w:rPr>
                <w:rFonts w:ascii="仿宋_GB2312" w:hAnsi="仿宋_GB2312" w:cs="仿宋_GB2312" w:eastAsia="仿宋_GB2312"/>
              </w:rPr>
              <w:t>微课视频个数 ≥16个（根据学分课时调整），每个视频 约10分钟。视频匹配教材内重点、难点，以视频形式讲解、演示；</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3.2.2</w:t>
            </w:r>
          </w:p>
        </w:tc>
        <w:tc>
          <w:tcPr>
            <w:tcW w:type="dxa" w:w="2076"/>
          </w:tcPr>
          <w:p>
            <w:pPr>
              <w:pStyle w:val="null5"/>
              <w:jc w:val="left"/>
            </w:pPr>
            <w:r>
              <w:rPr>
                <w:rFonts w:ascii="仿宋_GB2312" w:hAnsi="仿宋_GB2312" w:cs="仿宋_GB2312" w:eastAsia="仿宋_GB2312"/>
              </w:rPr>
              <w:t>图片 ≥50 个，图表清晰、标注规范；</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3.2.3</w:t>
            </w:r>
          </w:p>
        </w:tc>
        <w:tc>
          <w:tcPr>
            <w:tcW w:type="dxa" w:w="2076"/>
          </w:tcPr>
          <w:p>
            <w:pPr>
              <w:pStyle w:val="null5"/>
              <w:jc w:val="left"/>
            </w:pPr>
            <w:r>
              <w:rPr>
                <w:rFonts w:ascii="仿宋_GB2312" w:hAnsi="仿宋_GB2312" w:cs="仿宋_GB2312" w:eastAsia="仿宋_GB2312"/>
              </w:rPr>
              <w:t>课件：每个模块至少一份课件，覆盖该模块全部内容，以 PPT 形式融合教学目标、参考资料、学习素材；</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3.2.4</w:t>
            </w:r>
          </w:p>
        </w:tc>
        <w:tc>
          <w:tcPr>
            <w:tcW w:type="dxa" w:w="2076"/>
          </w:tcPr>
          <w:p>
            <w:pPr>
              <w:pStyle w:val="null5"/>
              <w:jc w:val="left"/>
            </w:pPr>
            <w:r>
              <w:rPr>
                <w:rFonts w:ascii="仿宋_GB2312" w:hAnsi="仿宋_GB2312" w:cs="仿宋_GB2312" w:eastAsia="仿宋_GB2312"/>
              </w:rPr>
              <w:t>习题 ≥150 道，针对教材内容设置课后练习题；</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教材以模块化设计呈现，内容可组合与更新，满足个性化学习需求，覆盖课程学习核心知识。每个教学模块辅以线上实验和案例分析，突出实用性和实战性。</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适应结构化、模块化的教学需求，以真实生产项目、典型工作任务、案例等为载体设计和组织教学单元。具有良好扩展性，满足快速更新需求。无政治性、科学性、知识性错误。</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3.5</w:t>
            </w:r>
          </w:p>
        </w:tc>
        <w:tc>
          <w:tcPr>
            <w:tcW w:type="dxa" w:w="2076"/>
          </w:tcPr>
          <w:p>
            <w:pPr>
              <w:pStyle w:val="null5"/>
              <w:jc w:val="left"/>
            </w:pPr>
            <w:r>
              <w:rPr>
                <w:rFonts w:ascii="仿宋_GB2312" w:hAnsi="仿宋_GB2312" w:cs="仿宋_GB2312" w:eastAsia="仿宋_GB2312"/>
              </w:rPr>
              <w:t>符合课程内在逻辑体系和学生认知发展规律，符合行业、企业人才培养目标，取材合适，支持学生自主学习和教师教学需求。</w:t>
            </w:r>
          </w:p>
        </w:tc>
      </w:tr>
    </w:tbl>
    <w:p>
      <w:pPr>
        <w:pStyle w:val="null5"/>
        <w:jc w:val="left"/>
      </w:pPr>
      <w:r>
        <w:rPr>
          <w:rFonts w:ascii="仿宋_GB2312" w:hAnsi="仿宋_GB2312" w:cs="仿宋_GB2312" w:eastAsia="仿宋_GB2312"/>
        </w:rPr>
        <w:t>标的名称：互动教学终端</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显示参数：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显示模式：标准、用户、动态、亮丽</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背光源类型：DLED背光</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物理分辨率：≥3840 × 2160</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亮度：≥350 cd/m²</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对比度：≥1200:1</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响应时间：≤8 ms</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对角线尺寸：≥86 英寸</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色彩饱和度：≥72% NTSC</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1.10</w:t>
            </w:r>
          </w:p>
        </w:tc>
        <w:tc>
          <w:tcPr>
            <w:tcW w:type="dxa" w:w="2076"/>
          </w:tcPr>
          <w:p>
            <w:pPr>
              <w:pStyle w:val="null5"/>
              <w:jc w:val="left"/>
            </w:pPr>
            <w:r>
              <w:rPr>
                <w:rFonts w:ascii="仿宋_GB2312" w:hAnsi="仿宋_GB2312" w:cs="仿宋_GB2312" w:eastAsia="仿宋_GB2312"/>
              </w:rPr>
              <w:t>屏幕材质：A规屏</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触控参数：</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触摸方式：红外触摸</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玻璃：AG钢化玻璃</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触控点：≥40点触控书写</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触控响应速度：≤ 5 ms</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玻璃透过率：≥ 88%</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输入方式：手指或专用笔</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2.8</w:t>
            </w:r>
          </w:p>
        </w:tc>
        <w:tc>
          <w:tcPr>
            <w:tcW w:type="dxa" w:w="2076"/>
          </w:tcPr>
          <w:p>
            <w:pPr>
              <w:pStyle w:val="null5"/>
              <w:jc w:val="left"/>
            </w:pPr>
            <w:r>
              <w:rPr>
                <w:rFonts w:ascii="仿宋_GB2312" w:hAnsi="仿宋_GB2312" w:cs="仿宋_GB2312" w:eastAsia="仿宋_GB2312"/>
              </w:rPr>
              <w:t>最小触摸物体：≤3 mm（中间90%区域）</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2.9</w:t>
            </w:r>
          </w:p>
        </w:tc>
        <w:tc>
          <w:tcPr>
            <w:tcW w:type="dxa" w:w="2076"/>
          </w:tcPr>
          <w:p>
            <w:pPr>
              <w:pStyle w:val="null5"/>
              <w:jc w:val="left"/>
            </w:pPr>
            <w:r>
              <w:rPr>
                <w:rFonts w:ascii="仿宋_GB2312" w:hAnsi="仿宋_GB2312" w:cs="仿宋_GB2312" w:eastAsia="仿宋_GB2312"/>
              </w:rPr>
              <w:t>抗强光干扰</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系统参数：</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嵌入式操作系统</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CPU：≥Cortex A55 4核，主频≥1.92 GHz</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内存：≥2 GB DDR4</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内置存储：≥16 GB</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功能参数：</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4.1</w:t>
            </w:r>
          </w:p>
        </w:tc>
        <w:tc>
          <w:tcPr>
            <w:tcW w:type="dxa" w:w="2076"/>
          </w:tcPr>
          <w:p>
            <w:pPr>
              <w:pStyle w:val="null5"/>
              <w:jc w:val="left"/>
            </w:pPr>
            <w:r>
              <w:rPr>
                <w:rFonts w:ascii="仿宋_GB2312" w:hAnsi="仿宋_GB2312" w:cs="仿宋_GB2312" w:eastAsia="仿宋_GB2312"/>
              </w:rPr>
              <w:t>内部喇叭：≥30W × 2+15 W × 2</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4.2</w:t>
            </w:r>
          </w:p>
        </w:tc>
        <w:tc>
          <w:tcPr>
            <w:tcW w:type="dxa" w:w="2076"/>
          </w:tcPr>
          <w:p>
            <w:pPr>
              <w:pStyle w:val="null5"/>
              <w:jc w:val="left"/>
            </w:pPr>
            <w:r>
              <w:rPr>
                <w:rFonts w:ascii="仿宋_GB2312" w:hAnsi="仿宋_GB2312" w:cs="仿宋_GB2312" w:eastAsia="仿宋_GB2312"/>
              </w:rPr>
              <w:t>电源开关：≥1个</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4.3</w:t>
            </w:r>
          </w:p>
        </w:tc>
        <w:tc>
          <w:tcPr>
            <w:tcW w:type="dxa" w:w="2076"/>
          </w:tcPr>
          <w:p>
            <w:pPr>
              <w:pStyle w:val="null5"/>
              <w:jc w:val="left"/>
            </w:pPr>
            <w:r>
              <w:rPr>
                <w:rFonts w:ascii="仿宋_GB2312" w:hAnsi="仿宋_GB2312" w:cs="仿宋_GB2312" w:eastAsia="仿宋_GB2312"/>
              </w:rPr>
              <w:t>OSD语言：英文/中文</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接口参数：</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音视频输入接口：≥HDMI in × 1(前置)；≥HDMI in × 1(后置)；Line in × 1; ≥Audio in × 1</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5.2</w:t>
            </w:r>
          </w:p>
        </w:tc>
        <w:tc>
          <w:tcPr>
            <w:tcW w:type="dxa" w:w="2076"/>
          </w:tcPr>
          <w:p>
            <w:pPr>
              <w:pStyle w:val="null5"/>
              <w:jc w:val="left"/>
            </w:pPr>
            <w:r>
              <w:rPr>
                <w:rFonts w:ascii="仿宋_GB2312" w:hAnsi="仿宋_GB2312" w:cs="仿宋_GB2312" w:eastAsia="仿宋_GB2312"/>
              </w:rPr>
              <w:t>音视频输出接口：≥Line out × 1</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5.3</w:t>
            </w:r>
          </w:p>
        </w:tc>
        <w:tc>
          <w:tcPr>
            <w:tcW w:type="dxa" w:w="2076"/>
          </w:tcPr>
          <w:p>
            <w:pPr>
              <w:pStyle w:val="null5"/>
              <w:jc w:val="left"/>
            </w:pPr>
            <w:r>
              <w:rPr>
                <w:rFonts w:ascii="仿宋_GB2312" w:hAnsi="仿宋_GB2312" w:cs="仿宋_GB2312" w:eastAsia="仿宋_GB2312"/>
              </w:rPr>
              <w:t>网络接口：网口 ×2</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5.4</w:t>
            </w:r>
          </w:p>
        </w:tc>
        <w:tc>
          <w:tcPr>
            <w:tcW w:type="dxa" w:w="2076"/>
          </w:tcPr>
          <w:p>
            <w:pPr>
              <w:pStyle w:val="null5"/>
              <w:jc w:val="left"/>
            </w:pPr>
            <w:r>
              <w:rPr>
                <w:rFonts w:ascii="仿宋_GB2312" w:hAnsi="仿宋_GB2312" w:cs="仿宋_GB2312" w:eastAsia="仿宋_GB2312"/>
              </w:rPr>
              <w:t>存储控制接口：前置Type-A ≥USB3.0 × 3；Type-C ≥USB2.0 × 1</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5.5</w:t>
            </w:r>
          </w:p>
        </w:tc>
        <w:tc>
          <w:tcPr>
            <w:tcW w:type="dxa" w:w="2076"/>
          </w:tcPr>
          <w:p>
            <w:pPr>
              <w:pStyle w:val="null5"/>
              <w:jc w:val="left"/>
            </w:pPr>
            <w:r>
              <w:rPr>
                <w:rFonts w:ascii="仿宋_GB2312" w:hAnsi="仿宋_GB2312" w:cs="仿宋_GB2312" w:eastAsia="仿宋_GB2312"/>
              </w:rPr>
              <w:t>板载：≥USB2.0 × 1；≥multi USB2.0 × 1；≥Touch USB x 1</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电源参数：</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6.1</w:t>
            </w:r>
          </w:p>
        </w:tc>
        <w:tc>
          <w:tcPr>
            <w:tcW w:type="dxa" w:w="2076"/>
          </w:tcPr>
          <w:p>
            <w:pPr>
              <w:pStyle w:val="null5"/>
              <w:jc w:val="left"/>
            </w:pPr>
            <w:r>
              <w:rPr>
                <w:rFonts w:ascii="仿宋_GB2312" w:hAnsi="仿宋_GB2312" w:cs="仿宋_GB2312" w:eastAsia="仿宋_GB2312"/>
              </w:rPr>
              <w:t>电源：100~240 VAC，50/60 Hz</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6.2</w:t>
            </w:r>
          </w:p>
        </w:tc>
        <w:tc>
          <w:tcPr>
            <w:tcW w:type="dxa" w:w="2076"/>
          </w:tcPr>
          <w:p>
            <w:pPr>
              <w:pStyle w:val="null5"/>
              <w:jc w:val="left"/>
            </w:pPr>
            <w:r>
              <w:rPr>
                <w:rFonts w:ascii="仿宋_GB2312" w:hAnsi="仿宋_GB2312" w:cs="仿宋_GB2312" w:eastAsia="仿宋_GB2312"/>
              </w:rPr>
              <w:t>待机功耗：≤ 0.5 W</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6.3</w:t>
            </w:r>
          </w:p>
        </w:tc>
        <w:tc>
          <w:tcPr>
            <w:tcW w:type="dxa" w:w="2076"/>
          </w:tcPr>
          <w:p>
            <w:pPr>
              <w:pStyle w:val="null5"/>
              <w:jc w:val="left"/>
            </w:pPr>
            <w:r>
              <w:rPr>
                <w:rFonts w:ascii="仿宋_GB2312" w:hAnsi="仿宋_GB2312" w:cs="仿宋_GB2312" w:eastAsia="仿宋_GB2312"/>
              </w:rPr>
              <w:t>功耗：≤ 350 W</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OPS系统</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7.1</w:t>
            </w:r>
          </w:p>
        </w:tc>
        <w:tc>
          <w:tcPr>
            <w:tcW w:type="dxa" w:w="2076"/>
          </w:tcPr>
          <w:p>
            <w:pPr>
              <w:pStyle w:val="null5"/>
              <w:jc w:val="left"/>
            </w:pPr>
            <w:r>
              <w:rPr>
                <w:rFonts w:ascii="仿宋_GB2312" w:hAnsi="仿宋_GB2312" w:cs="仿宋_GB2312" w:eastAsia="仿宋_GB2312"/>
              </w:rPr>
              <w:t>内存：≥16GB</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7.2</w:t>
            </w:r>
          </w:p>
        </w:tc>
        <w:tc>
          <w:tcPr>
            <w:tcW w:type="dxa" w:w="2076"/>
          </w:tcPr>
          <w:p>
            <w:pPr>
              <w:pStyle w:val="null5"/>
              <w:jc w:val="left"/>
            </w:pPr>
            <w:r>
              <w:rPr>
                <w:rFonts w:ascii="仿宋_GB2312" w:hAnsi="仿宋_GB2312" w:cs="仿宋_GB2312" w:eastAsia="仿宋_GB2312"/>
              </w:rPr>
              <w:t>平台架构：符合教学实际需求，符合国产化要求</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7.3</w:t>
            </w:r>
          </w:p>
        </w:tc>
        <w:tc>
          <w:tcPr>
            <w:tcW w:type="dxa" w:w="2076"/>
          </w:tcPr>
          <w:p>
            <w:pPr>
              <w:pStyle w:val="null5"/>
              <w:jc w:val="left"/>
            </w:pPr>
            <w:r>
              <w:rPr>
                <w:rFonts w:ascii="仿宋_GB2312" w:hAnsi="仿宋_GB2312" w:cs="仿宋_GB2312" w:eastAsia="仿宋_GB2312"/>
              </w:rPr>
              <w:t>处理器：8核12线程，基础频率2.0GHz，最大睿频 4.4GHz，三级缓存12MB，符合国产化要求</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7.4</w:t>
            </w:r>
          </w:p>
        </w:tc>
        <w:tc>
          <w:tcPr>
            <w:tcW w:type="dxa" w:w="2076"/>
          </w:tcPr>
          <w:p>
            <w:pPr>
              <w:pStyle w:val="null5"/>
              <w:jc w:val="left"/>
            </w:pPr>
            <w:r>
              <w:rPr>
                <w:rFonts w:ascii="仿宋_GB2312" w:hAnsi="仿宋_GB2312" w:cs="仿宋_GB2312" w:eastAsia="仿宋_GB2312"/>
              </w:rPr>
              <w:t>网卡：≥1000M x1</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7.5</w:t>
            </w:r>
          </w:p>
        </w:tc>
        <w:tc>
          <w:tcPr>
            <w:tcW w:type="dxa" w:w="2076"/>
          </w:tcPr>
          <w:p>
            <w:pPr>
              <w:pStyle w:val="null5"/>
              <w:jc w:val="left"/>
            </w:pPr>
            <w:r>
              <w:rPr>
                <w:rFonts w:ascii="仿宋_GB2312" w:hAnsi="仿宋_GB2312" w:cs="仿宋_GB2312" w:eastAsia="仿宋_GB2312"/>
              </w:rPr>
              <w:t>主频：≥2.0GHz</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7.6</w:t>
            </w:r>
          </w:p>
        </w:tc>
        <w:tc>
          <w:tcPr>
            <w:tcW w:type="dxa" w:w="2076"/>
          </w:tcPr>
          <w:p>
            <w:pPr>
              <w:pStyle w:val="null5"/>
              <w:jc w:val="left"/>
            </w:pPr>
            <w:r>
              <w:rPr>
                <w:rFonts w:ascii="仿宋_GB2312" w:hAnsi="仿宋_GB2312" w:cs="仿宋_GB2312" w:eastAsia="仿宋_GB2312"/>
              </w:rPr>
              <w:t>硬盘：≥512GB SSD</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7.7</w:t>
            </w:r>
          </w:p>
        </w:tc>
        <w:tc>
          <w:tcPr>
            <w:tcW w:type="dxa" w:w="2076"/>
          </w:tcPr>
          <w:p>
            <w:pPr>
              <w:pStyle w:val="null5"/>
              <w:jc w:val="left"/>
            </w:pPr>
            <w:r>
              <w:rPr>
                <w:rFonts w:ascii="仿宋_GB2312" w:hAnsi="仿宋_GB2312" w:cs="仿宋_GB2312" w:eastAsia="仿宋_GB2312"/>
              </w:rPr>
              <w:t>网络接口：≥RJ45 x1</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7.8</w:t>
            </w:r>
          </w:p>
        </w:tc>
        <w:tc>
          <w:tcPr>
            <w:tcW w:type="dxa" w:w="2076"/>
          </w:tcPr>
          <w:p>
            <w:pPr>
              <w:pStyle w:val="null5"/>
              <w:jc w:val="left"/>
            </w:pPr>
            <w:r>
              <w:rPr>
                <w:rFonts w:ascii="仿宋_GB2312" w:hAnsi="仿宋_GB2312" w:cs="仿宋_GB2312" w:eastAsia="仿宋_GB2312"/>
              </w:rPr>
              <w:t>音频输入接口：≥MIC in x1</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7.9</w:t>
            </w:r>
          </w:p>
        </w:tc>
        <w:tc>
          <w:tcPr>
            <w:tcW w:type="dxa" w:w="2076"/>
          </w:tcPr>
          <w:p>
            <w:pPr>
              <w:pStyle w:val="null5"/>
              <w:jc w:val="left"/>
            </w:pPr>
            <w:r>
              <w:rPr>
                <w:rFonts w:ascii="仿宋_GB2312" w:hAnsi="仿宋_GB2312" w:cs="仿宋_GB2312" w:eastAsia="仿宋_GB2312"/>
              </w:rPr>
              <w:t>音频输出接口：≥LINE out x1</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7.10</w:t>
            </w:r>
          </w:p>
        </w:tc>
        <w:tc>
          <w:tcPr>
            <w:tcW w:type="dxa" w:w="2076"/>
          </w:tcPr>
          <w:p>
            <w:pPr>
              <w:pStyle w:val="null5"/>
              <w:jc w:val="left"/>
            </w:pPr>
            <w:r>
              <w:rPr>
                <w:rFonts w:ascii="仿宋_GB2312" w:hAnsi="仿宋_GB2312" w:cs="仿宋_GB2312" w:eastAsia="仿宋_GB2312"/>
              </w:rPr>
              <w:t>存储控制接口：不少于USB3.0 接口 x5; USB2.0 接口 x1</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7.11</w:t>
            </w:r>
          </w:p>
        </w:tc>
        <w:tc>
          <w:tcPr>
            <w:tcW w:type="dxa" w:w="2076"/>
          </w:tcPr>
          <w:p>
            <w:pPr>
              <w:pStyle w:val="null5"/>
              <w:jc w:val="left"/>
            </w:pPr>
            <w:r>
              <w:rPr>
                <w:rFonts w:ascii="仿宋_GB2312" w:hAnsi="仿宋_GB2312" w:cs="仿宋_GB2312" w:eastAsia="仿宋_GB2312"/>
              </w:rPr>
              <w:t>视频输出接口：不少于HDMI接口(out） x1, DP(out) 接口 x1</w:t>
            </w:r>
          </w:p>
        </w:tc>
      </w:tr>
    </w:tbl>
    <w:p>
      <w:pPr>
        <w:pStyle w:val="null5"/>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端口配置：≥24个10/100/1000Mbps自适应以太网电口，≥2个1000Mbps SFP千兆光口，支持光口热插拔。</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交换容量：≥330Gbps。</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包转发率：≥90Mpps。</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设备类型：网管型交换机，支持WEB管理、SNMP协议等多种网管方式，可实现端口限速、VLAN划分、链路聚合、端口镜像等功能。</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外壳材质：采用金属外壳设计，具备良好的散热性能和抗电磁干扰能力。</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防雷等级：支持≥6kV防雷保护。</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安装方式：机架式。</w:t>
            </w:r>
          </w:p>
        </w:tc>
      </w:tr>
    </w:tbl>
    <w:p>
      <w:pPr>
        <w:pStyle w:val="null5"/>
        <w:jc w:val="left"/>
      </w:pPr>
      <w:r>
        <w:rPr>
          <w:rFonts w:ascii="仿宋_GB2312" w:hAnsi="仿宋_GB2312" w:cs="仿宋_GB2312" w:eastAsia="仿宋_GB2312"/>
        </w:rPr>
        <w:t>标的名称：企业级路由器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机架式，固化≥10个全千兆电口。</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支持终端数≥200台，带宽≥1500Mbps。</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支持≥3个网段划分，内置AC功能，可直接管理无线AP。</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支持Easy VPN、IPSec VPN、OPEN VPN等VPN协议；支持PPPoE Server、扫码认证、授权认证功能。</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支持应用流控、应用阻断功能；支持云平台与APP双重管理方式，实现远程运维、实时监控，提升管理效率。</w:t>
            </w:r>
          </w:p>
        </w:tc>
      </w:tr>
    </w:tbl>
    <w:p>
      <w:pPr>
        <w:pStyle w:val="null5"/>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规格参数：9U标准挂墙式机柜，尺寸长600mm×宽450mm×高500mm±5mm。</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结构设计：柜体采用冷轧钢板，前门采用钢化玻璃。</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防护性能：具备防尘、防电磁干扰能力；支持门锁设计。</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走线功能：机柜预留合理走线孔位。</w:t>
            </w:r>
          </w:p>
        </w:tc>
      </w:tr>
    </w:tbl>
    <w:p>
      <w:pPr>
        <w:pStyle w:val="null5"/>
        <w:jc w:val="left"/>
      </w:pPr>
      <w:r>
        <w:rPr>
          <w:rFonts w:ascii="仿宋_GB2312" w:hAnsi="仿宋_GB2312" w:cs="仿宋_GB2312" w:eastAsia="仿宋_GB2312"/>
        </w:rPr>
        <w:t>标的名称：实训桌椅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双人位学生桌（69台）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 xml:space="preserve"> 整体规格：双人位设计，参考尺寸长1200mm×宽600mm×高750mm，可根据机房实际尺寸灵活调整，适配实训场景布局需求。</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桌面材质与工艺：采用≥25mm环保E1级颗粒板或密度板，表面贴防火板，耐磨、耐刮、易清洁；边缘采用PVC机器封边工艺，封边紧密，防潮防脱。</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桌腿及框架：采用优质冷轧钢管材质，钢管壁厚≥1.2mm；表面经酸洗磷化、静电喷涂双重处理，防锈耐腐蚀。</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走线功能：桌面预留标准穿线孔；桌下配置专用理线槽。</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学生椅（138把）</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椅面材质：采用高密度聚乙烯（HDPE）吹塑成型，或优质多层板贴防火板材质，防水、耐磨、不易变形，易清洁。</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椅架材质与工艺：采用优质冷轧钢管，钢管壁厚≥1.2mm；表面经静电喷涂处理，防锈耐腐蚀。</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承重要求：额定承重≥100kg。</w:t>
            </w:r>
          </w:p>
        </w:tc>
      </w:tr>
    </w:tbl>
    <w:p>
      <w:pPr>
        <w:pStyle w:val="null5"/>
        <w:jc w:val="left"/>
      </w:pPr>
      <w:r>
        <w:rPr>
          <w:rFonts w:ascii="仿宋_GB2312" w:hAnsi="仿宋_GB2312" w:cs="仿宋_GB2312" w:eastAsia="仿宋_GB2312"/>
        </w:rPr>
        <w:t>标的名称：显示系统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显示参数：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显示模式：标准、用户、动态、亮丽</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背光源类型：DLED背光</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物理分辨率：≥3840 × 2160</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亮度：≥350 cd/m²</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对比度：≥1200：1</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响应时间：≤8 ms</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对角线尺寸：≥86 inch</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色彩饱和度：≥72% NTSC</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屏幕材质：A规屏</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触控参数：</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触摸方式：红外触摸</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玻璃：AG钢化玻璃</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触控点：≥40点触控书写</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2.4</w:t>
            </w:r>
          </w:p>
        </w:tc>
        <w:tc>
          <w:tcPr>
            <w:tcW w:type="dxa" w:w="2076"/>
          </w:tcPr>
          <w:p>
            <w:pPr>
              <w:pStyle w:val="null5"/>
              <w:jc w:val="left"/>
            </w:pPr>
            <w:r>
              <w:rPr>
                <w:rFonts w:ascii="仿宋_GB2312" w:hAnsi="仿宋_GB2312" w:cs="仿宋_GB2312" w:eastAsia="仿宋_GB2312"/>
              </w:rPr>
              <w:t>触控响应速度：≤ 5 ms</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2.5</w:t>
            </w:r>
          </w:p>
        </w:tc>
        <w:tc>
          <w:tcPr>
            <w:tcW w:type="dxa" w:w="2076"/>
          </w:tcPr>
          <w:p>
            <w:pPr>
              <w:pStyle w:val="null5"/>
              <w:jc w:val="left"/>
            </w:pPr>
            <w:r>
              <w:rPr>
                <w:rFonts w:ascii="仿宋_GB2312" w:hAnsi="仿宋_GB2312" w:cs="仿宋_GB2312" w:eastAsia="仿宋_GB2312"/>
              </w:rPr>
              <w:t>玻璃透过率：≥ 88%</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输入方式：手指或专用笔</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最小触摸物体：≤3 mm（中间90%区域）</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2.8</w:t>
            </w:r>
          </w:p>
        </w:tc>
        <w:tc>
          <w:tcPr>
            <w:tcW w:type="dxa" w:w="2076"/>
          </w:tcPr>
          <w:p>
            <w:pPr>
              <w:pStyle w:val="null5"/>
              <w:jc w:val="left"/>
            </w:pPr>
            <w:r>
              <w:rPr>
                <w:rFonts w:ascii="仿宋_GB2312" w:hAnsi="仿宋_GB2312" w:cs="仿宋_GB2312" w:eastAsia="仿宋_GB2312"/>
              </w:rPr>
              <w:t>抗强光干扰</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系统参数：</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3.1</w:t>
            </w:r>
          </w:p>
        </w:tc>
        <w:tc>
          <w:tcPr>
            <w:tcW w:type="dxa" w:w="2076"/>
          </w:tcPr>
          <w:p>
            <w:pPr>
              <w:pStyle w:val="null5"/>
              <w:jc w:val="left"/>
            </w:pPr>
            <w:r>
              <w:rPr>
                <w:rFonts w:ascii="仿宋_GB2312" w:hAnsi="仿宋_GB2312" w:cs="仿宋_GB2312" w:eastAsia="仿宋_GB2312"/>
              </w:rPr>
              <w:t>嵌入式操作系统</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CPU：≥Cortex A55 4核， 主频≥1.92 GHz</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内存：≥2 GB DDR4</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内置存储：≥16 GB</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功能参数：</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4.1</w:t>
            </w:r>
          </w:p>
        </w:tc>
        <w:tc>
          <w:tcPr>
            <w:tcW w:type="dxa" w:w="2076"/>
          </w:tcPr>
          <w:p>
            <w:pPr>
              <w:pStyle w:val="null5"/>
              <w:jc w:val="left"/>
            </w:pPr>
            <w:r>
              <w:rPr>
                <w:rFonts w:ascii="仿宋_GB2312" w:hAnsi="仿宋_GB2312" w:cs="仿宋_GB2312" w:eastAsia="仿宋_GB2312"/>
              </w:rPr>
              <w:t>内部喇叭：≥30W × 2+15 W × 2</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4.2</w:t>
            </w:r>
          </w:p>
        </w:tc>
        <w:tc>
          <w:tcPr>
            <w:tcW w:type="dxa" w:w="2076"/>
          </w:tcPr>
          <w:p>
            <w:pPr>
              <w:pStyle w:val="null5"/>
              <w:jc w:val="left"/>
            </w:pPr>
            <w:r>
              <w:rPr>
                <w:rFonts w:ascii="仿宋_GB2312" w:hAnsi="仿宋_GB2312" w:cs="仿宋_GB2312" w:eastAsia="仿宋_GB2312"/>
              </w:rPr>
              <w:t>电源开关：≥1个</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4.3</w:t>
            </w:r>
          </w:p>
        </w:tc>
        <w:tc>
          <w:tcPr>
            <w:tcW w:type="dxa" w:w="2076"/>
          </w:tcPr>
          <w:p>
            <w:pPr>
              <w:pStyle w:val="null5"/>
              <w:jc w:val="left"/>
            </w:pPr>
            <w:r>
              <w:rPr>
                <w:rFonts w:ascii="仿宋_GB2312" w:hAnsi="仿宋_GB2312" w:cs="仿宋_GB2312" w:eastAsia="仿宋_GB2312"/>
              </w:rPr>
              <w:t>OSD语言：英文/中文</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接口参数：</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音视频输入接口：≥HDMI in × 1(前置)；≥HDMI in × 1(后置)；Line in × 1; ≥Audio in × 1</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5.2</w:t>
            </w:r>
          </w:p>
        </w:tc>
        <w:tc>
          <w:tcPr>
            <w:tcW w:type="dxa" w:w="2076"/>
          </w:tcPr>
          <w:p>
            <w:pPr>
              <w:pStyle w:val="null5"/>
              <w:jc w:val="left"/>
            </w:pPr>
            <w:r>
              <w:rPr>
                <w:rFonts w:ascii="仿宋_GB2312" w:hAnsi="仿宋_GB2312" w:cs="仿宋_GB2312" w:eastAsia="仿宋_GB2312"/>
              </w:rPr>
              <w:t>音视频输出接口：≥Line out × 1</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5.3</w:t>
            </w:r>
          </w:p>
        </w:tc>
        <w:tc>
          <w:tcPr>
            <w:tcW w:type="dxa" w:w="2076"/>
          </w:tcPr>
          <w:p>
            <w:pPr>
              <w:pStyle w:val="null5"/>
              <w:jc w:val="left"/>
            </w:pPr>
            <w:r>
              <w:rPr>
                <w:rFonts w:ascii="仿宋_GB2312" w:hAnsi="仿宋_GB2312" w:cs="仿宋_GB2312" w:eastAsia="仿宋_GB2312"/>
              </w:rPr>
              <w:t>网络接口：网口 ×2</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5.4</w:t>
            </w:r>
          </w:p>
        </w:tc>
        <w:tc>
          <w:tcPr>
            <w:tcW w:type="dxa" w:w="2076"/>
          </w:tcPr>
          <w:p>
            <w:pPr>
              <w:pStyle w:val="null5"/>
              <w:jc w:val="left"/>
            </w:pPr>
            <w:r>
              <w:rPr>
                <w:rFonts w:ascii="仿宋_GB2312" w:hAnsi="仿宋_GB2312" w:cs="仿宋_GB2312" w:eastAsia="仿宋_GB2312"/>
              </w:rPr>
              <w:t>存储控制接口：前置Type-A ≥USB3.0 × 3；Type-C ≥USB2.0 × 1</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5.5</w:t>
            </w:r>
          </w:p>
        </w:tc>
        <w:tc>
          <w:tcPr>
            <w:tcW w:type="dxa" w:w="2076"/>
          </w:tcPr>
          <w:p>
            <w:pPr>
              <w:pStyle w:val="null5"/>
              <w:jc w:val="left"/>
            </w:pPr>
            <w:r>
              <w:rPr>
                <w:rFonts w:ascii="仿宋_GB2312" w:hAnsi="仿宋_GB2312" w:cs="仿宋_GB2312" w:eastAsia="仿宋_GB2312"/>
              </w:rPr>
              <w:t>板载安卓：≥USB2.0 × 1；≥multi USB2.0 × 1；≥Touch USB x 1</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电源参数：</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6.1</w:t>
            </w:r>
          </w:p>
        </w:tc>
        <w:tc>
          <w:tcPr>
            <w:tcW w:type="dxa" w:w="2076"/>
          </w:tcPr>
          <w:p>
            <w:pPr>
              <w:pStyle w:val="null5"/>
              <w:jc w:val="left"/>
            </w:pPr>
            <w:r>
              <w:rPr>
                <w:rFonts w:ascii="仿宋_GB2312" w:hAnsi="仿宋_GB2312" w:cs="仿宋_GB2312" w:eastAsia="仿宋_GB2312"/>
              </w:rPr>
              <w:t>电源：100~240 VAC，50/60 Hz</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6.2</w:t>
            </w:r>
          </w:p>
        </w:tc>
        <w:tc>
          <w:tcPr>
            <w:tcW w:type="dxa" w:w="2076"/>
          </w:tcPr>
          <w:p>
            <w:pPr>
              <w:pStyle w:val="null5"/>
              <w:jc w:val="left"/>
            </w:pPr>
            <w:r>
              <w:rPr>
                <w:rFonts w:ascii="仿宋_GB2312" w:hAnsi="仿宋_GB2312" w:cs="仿宋_GB2312" w:eastAsia="仿宋_GB2312"/>
              </w:rPr>
              <w:t>待机功耗：≤ 0.5 W</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6.3</w:t>
            </w:r>
          </w:p>
        </w:tc>
        <w:tc>
          <w:tcPr>
            <w:tcW w:type="dxa" w:w="2076"/>
          </w:tcPr>
          <w:p>
            <w:pPr>
              <w:pStyle w:val="null5"/>
              <w:jc w:val="left"/>
            </w:pPr>
            <w:r>
              <w:rPr>
                <w:rFonts w:ascii="仿宋_GB2312" w:hAnsi="仿宋_GB2312" w:cs="仿宋_GB2312" w:eastAsia="仿宋_GB2312"/>
              </w:rPr>
              <w:t>功耗：≤ 350 W</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OPS电脑</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8.1</w:t>
            </w:r>
          </w:p>
        </w:tc>
        <w:tc>
          <w:tcPr>
            <w:tcW w:type="dxa" w:w="2076"/>
          </w:tcPr>
          <w:p>
            <w:pPr>
              <w:pStyle w:val="null5"/>
              <w:jc w:val="left"/>
            </w:pPr>
            <w:r>
              <w:rPr>
                <w:rFonts w:ascii="仿宋_GB2312" w:hAnsi="仿宋_GB2312" w:cs="仿宋_GB2312" w:eastAsia="仿宋_GB2312"/>
              </w:rPr>
              <w:t>内存：≥16GB</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8.2</w:t>
            </w:r>
          </w:p>
        </w:tc>
        <w:tc>
          <w:tcPr>
            <w:tcW w:type="dxa" w:w="2076"/>
          </w:tcPr>
          <w:p>
            <w:pPr>
              <w:pStyle w:val="null5"/>
              <w:jc w:val="left"/>
            </w:pPr>
            <w:r>
              <w:rPr>
                <w:rFonts w:ascii="仿宋_GB2312" w:hAnsi="仿宋_GB2312" w:cs="仿宋_GB2312" w:eastAsia="仿宋_GB2312"/>
              </w:rPr>
              <w:t>平台架构：符合教学要求符合国产化要求</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8.3</w:t>
            </w:r>
          </w:p>
        </w:tc>
        <w:tc>
          <w:tcPr>
            <w:tcW w:type="dxa" w:w="2076"/>
          </w:tcPr>
          <w:p>
            <w:pPr>
              <w:pStyle w:val="null5"/>
              <w:jc w:val="left"/>
            </w:pPr>
            <w:r>
              <w:rPr>
                <w:rFonts w:ascii="仿宋_GB2312" w:hAnsi="仿宋_GB2312" w:cs="仿宋_GB2312" w:eastAsia="仿宋_GB2312"/>
              </w:rPr>
              <w:t>处理器：核心数：≥8核 ；主频：≥2.0GHz，符合国产化要求</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8.4</w:t>
            </w:r>
          </w:p>
        </w:tc>
        <w:tc>
          <w:tcPr>
            <w:tcW w:type="dxa" w:w="2076"/>
          </w:tcPr>
          <w:p>
            <w:pPr>
              <w:pStyle w:val="null5"/>
              <w:jc w:val="left"/>
            </w:pPr>
            <w:r>
              <w:rPr>
                <w:rFonts w:ascii="仿宋_GB2312" w:hAnsi="仿宋_GB2312" w:cs="仿宋_GB2312" w:eastAsia="仿宋_GB2312"/>
              </w:rPr>
              <w:t>网卡：≥I1000M x1</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8.5</w:t>
            </w:r>
          </w:p>
        </w:tc>
        <w:tc>
          <w:tcPr>
            <w:tcW w:type="dxa" w:w="2076"/>
          </w:tcPr>
          <w:p>
            <w:pPr>
              <w:pStyle w:val="null5"/>
              <w:jc w:val="left"/>
            </w:pPr>
            <w:r>
              <w:rPr>
                <w:rFonts w:ascii="仿宋_GB2312" w:hAnsi="仿宋_GB2312" w:cs="仿宋_GB2312" w:eastAsia="仿宋_GB2312"/>
              </w:rPr>
              <w:t>主频：≥2.0GHz</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8.6</w:t>
            </w:r>
          </w:p>
        </w:tc>
        <w:tc>
          <w:tcPr>
            <w:tcW w:type="dxa" w:w="2076"/>
          </w:tcPr>
          <w:p>
            <w:pPr>
              <w:pStyle w:val="null5"/>
              <w:jc w:val="left"/>
            </w:pPr>
            <w:r>
              <w:rPr>
                <w:rFonts w:ascii="仿宋_GB2312" w:hAnsi="仿宋_GB2312" w:cs="仿宋_GB2312" w:eastAsia="仿宋_GB2312"/>
              </w:rPr>
              <w:t>硬盘：≥512GB SSD</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8.7</w:t>
            </w:r>
          </w:p>
        </w:tc>
        <w:tc>
          <w:tcPr>
            <w:tcW w:type="dxa" w:w="2076"/>
          </w:tcPr>
          <w:p>
            <w:pPr>
              <w:pStyle w:val="null5"/>
              <w:jc w:val="left"/>
            </w:pPr>
            <w:r>
              <w:rPr>
                <w:rFonts w:ascii="仿宋_GB2312" w:hAnsi="仿宋_GB2312" w:cs="仿宋_GB2312" w:eastAsia="仿宋_GB2312"/>
              </w:rPr>
              <w:t>网络接口：≥RJ45 x1</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8.8</w:t>
            </w:r>
          </w:p>
        </w:tc>
        <w:tc>
          <w:tcPr>
            <w:tcW w:type="dxa" w:w="2076"/>
          </w:tcPr>
          <w:p>
            <w:pPr>
              <w:pStyle w:val="null5"/>
              <w:jc w:val="left"/>
            </w:pPr>
            <w:r>
              <w:rPr>
                <w:rFonts w:ascii="仿宋_GB2312" w:hAnsi="仿宋_GB2312" w:cs="仿宋_GB2312" w:eastAsia="仿宋_GB2312"/>
              </w:rPr>
              <w:t>音频输入接口：≥MIC in x1</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8.9</w:t>
            </w:r>
          </w:p>
        </w:tc>
        <w:tc>
          <w:tcPr>
            <w:tcW w:type="dxa" w:w="2076"/>
          </w:tcPr>
          <w:p>
            <w:pPr>
              <w:pStyle w:val="null5"/>
              <w:jc w:val="left"/>
            </w:pPr>
            <w:r>
              <w:rPr>
                <w:rFonts w:ascii="仿宋_GB2312" w:hAnsi="仿宋_GB2312" w:cs="仿宋_GB2312" w:eastAsia="仿宋_GB2312"/>
              </w:rPr>
              <w:t>音频输出接口：≥LINE out x1</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8.1</w:t>
            </w:r>
          </w:p>
        </w:tc>
        <w:tc>
          <w:tcPr>
            <w:tcW w:type="dxa" w:w="2076"/>
          </w:tcPr>
          <w:p>
            <w:pPr>
              <w:pStyle w:val="null5"/>
              <w:jc w:val="left"/>
            </w:pPr>
            <w:r>
              <w:rPr>
                <w:rFonts w:ascii="仿宋_GB2312" w:hAnsi="仿宋_GB2312" w:cs="仿宋_GB2312" w:eastAsia="仿宋_GB2312"/>
              </w:rPr>
              <w:t>存储控制接口：不少于USB3.0 接口 x5; USB2.0 接口 x1</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8.11</w:t>
            </w:r>
          </w:p>
        </w:tc>
        <w:tc>
          <w:tcPr>
            <w:tcW w:type="dxa" w:w="2076"/>
          </w:tcPr>
          <w:p>
            <w:pPr>
              <w:pStyle w:val="null5"/>
              <w:jc w:val="left"/>
            </w:pPr>
            <w:r>
              <w:rPr>
                <w:rFonts w:ascii="仿宋_GB2312" w:hAnsi="仿宋_GB2312" w:cs="仿宋_GB2312" w:eastAsia="仿宋_GB2312"/>
              </w:rPr>
              <w:t>视频输出接口：不少于HDMI接口(out） x1, DP(out) 接口 x1</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配套86寸教学黑板</w:t>
            </w:r>
          </w:p>
        </w:tc>
      </w:tr>
    </w:tbl>
    <w:p>
      <w:pPr>
        <w:pStyle w:val="null5"/>
        <w:jc w:val="left"/>
      </w:pPr>
      <w:r>
        <w:rPr>
          <w:rFonts w:ascii="仿宋_GB2312" w:hAnsi="仿宋_GB2312" w:cs="仿宋_GB2312" w:eastAsia="仿宋_GB2312"/>
        </w:rPr>
        <w:t>标的名称：会议桌</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规格尺寸：支持根据会议室实际尺寸定制，参考尺寸2400mm×1200mm至3200mm×1400mm。</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桌面材质与工艺：符合国家环保标准，无异味、无有害物质；表面具备耐磨、防刮、易清洁特性；封边紧密平整，防潮防脱，延长使用寿命。</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桌架材质与工艺：采用优质冷轧钢管（壁厚≥1.2mm）或优质铸钢桌腿；表面经静电喷涂处理，附着力强，防锈耐腐蚀，外观整洁美观。</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走线功能：桌面预留走线盒孔位，可选配翻盖式线盒；桌下预留充足过线空间。</w:t>
            </w:r>
          </w:p>
        </w:tc>
      </w:tr>
    </w:tbl>
    <w:p>
      <w:pPr>
        <w:pStyle w:val="null5"/>
        <w:jc w:val="left"/>
      </w:pPr>
      <w:r>
        <w:rPr>
          <w:rFonts w:ascii="仿宋_GB2312" w:hAnsi="仿宋_GB2312" w:cs="仿宋_GB2312" w:eastAsia="仿宋_GB2312"/>
        </w:rPr>
        <w:t>标的名称：网络中心机柜</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规格型号：42U标准机柜，长600mm×宽1000mm×高2000mm。</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柜门配置：前柜门采用玻璃材质，透明设计；后柜门采用高密网门，通风性优良，同时具备防尘、防电磁干扰功能。</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内部配件：含≥2块隔板，可灵活调整高度，；含≥2个散热风扇。</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供电配置：含五孔PDU（电源分配单元），具备过载、防雷保护功能。</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结构设计：采用冷轧钢板。</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防护与走线：具备防尘、防电磁干扰、防盗性能；机柜预留充足走线孔位。</w:t>
            </w:r>
          </w:p>
        </w:tc>
      </w:tr>
    </w:tbl>
    <w:p>
      <w:pPr>
        <w:pStyle w:val="null5"/>
        <w:jc w:val="left"/>
      </w:pPr>
      <w:r>
        <w:rPr>
          <w:rFonts w:ascii="仿宋_GB2312" w:hAnsi="仿宋_GB2312" w:cs="仿宋_GB2312" w:eastAsia="仿宋_GB2312"/>
        </w:rPr>
        <w:t>标的名称：业务交换机</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基本性能：交换容量≥6Tbps，转发性能≥160Mpps；端口配置≥48个10/100/1000Base-T自适应以太网电口，≥4个千兆SFP光口，支持光口热插拔。</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基础管控功能：支持VLAN划分、端口聚合、端口镜像功能，可实现网络分段管理、链路冗余备份及流量监控；支持防环路、端口限速功能。</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路由协议支持：支持IPv4静态路由、RIP V1/V2、OSPF路由协议，同时支持IPv6静态路由、RIPng协议，兼顾IPv4与IPv6网络部署需求。</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风暴抑制功能：支持广播风暴抑制、单播风暴抑制、组播风暴抑制。</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设备可靠性：采用金属外壳设计；机架式安装。</w:t>
            </w:r>
          </w:p>
        </w:tc>
      </w:tr>
    </w:tbl>
    <w:p>
      <w:pPr>
        <w:pStyle w:val="null5"/>
        <w:jc w:val="left"/>
      </w:pPr>
      <w:r>
        <w:rPr>
          <w:rFonts w:ascii="仿宋_GB2312" w:hAnsi="仿宋_GB2312" w:cs="仿宋_GB2312" w:eastAsia="仿宋_GB2312"/>
        </w:rPr>
        <w:t>标的名称：环境改造</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环境改造建筑面积不超过250平。</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地面找平：采用水泥砂浆找平工艺，平整度偏差控制在≤2mm/2m，表面平整光滑，无起砂、空鼓现象，为后续装修施工奠定基础。</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防裂处理：板材拼接缝、墙面开槽处需挂贴防裂网格带（如确良布或专用网格带），并刮涂嵌缝石膏，确保拼接处、开槽处无开裂隐患，提升墙面基层稳定性和耐用性。</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墙面处理：批刮2-3遍耐水腻子或内墙高档腻子，腻子层均匀饱满，无漏刮、起皱现象；打磨后表面光滑、无刮痕、无掉粉，附着力强，适配后续涂料或装饰面层施工。</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吊顶施工：实训室走廊区域部分吊顶。</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照明系统：统一采用4000K中性光LED灯具，办公区域配置平板灯，通道区域配置筒灯；桌面照度≥300lx，显色指数Ra≥80，光线柔和无眩光，还原真实色彩，保护视力；实行分区独立控制，可按需调节照明开关，节能环保，提升使用便捷性。</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施工要求：所有施工工序符合国家装修工程施工规范，材料符合环保标准，无有害物质释放；施工过程中做好成品保护，避免损坏原有设施及已完成工序；施工完成后清理现场，确保无施工垃圾遗留。</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完成机房的网络布线，保障机房正常运行。</w:t>
            </w:r>
          </w:p>
        </w:tc>
      </w:tr>
    </w:tbl>
    <w:p>
      <w:pPr>
        <w:pStyle w:val="null5"/>
        <w:jc w:val="left"/>
      </w:pPr>
      <w:r>
        <w:rPr>
          <w:rFonts w:ascii="仿宋_GB2312" w:hAnsi="仿宋_GB2312" w:cs="仿宋_GB2312" w:eastAsia="仿宋_GB2312"/>
        </w:rPr>
        <w:t>标的名称：文化建设</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建设内容：板块布局科学合理，贴合AI产业园区场景，突出教育内涵与人文气息。</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材质要求：采用环保亚克力或金属材质，材质符合国家环保标准，无异味、无有害物质，安全耐用，适配校园公共环境使用。</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制作工艺：采用UV打印工艺，打印画质清晰、色彩鲜艳，不易褪色、不易脱落，图案还原度高，可精准呈现校园文化元素。</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照明设计：搭配重点照明系统，照明亮度适中、光线柔和，无眩光，可突出展示内容层次感，营造庄重且富有活力的文化氛围，提升视觉体验。</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安装要求：安装牢固、平整，无松动隐患，施工过程中不破坏校园原有设施，安装后整体美观整洁，与产业园区环境协调统一。</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耐用性能：具备良好的防水、防污、耐磨特性，便于日常清洁维护，可长期适应校园人员流动大的使用场景，使用寿命长。</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文化建设范围至少包含建设的实训室、工作室、实验室经过的连廊部分、网络中心机房等。</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售后服务要求</w:t>
            </w:r>
          </w:p>
        </w:tc>
        <w:tc>
          <w:tcPr>
            <w:tcW w:type="dxa" w:w="4153"/>
          </w:tcPr>
          <w:p>
            <w:pPr>
              <w:pStyle w:val="null5"/>
              <w:jc w:val="left"/>
            </w:pPr>
            <w:r>
              <w:rPr>
                <w:rFonts w:ascii="仿宋_GB2312" w:hAnsi="仿宋_GB2312" w:cs="仿宋_GB2312" w:eastAsia="仿宋_GB2312"/>
              </w:rPr>
              <w:t>1.质保期内全部免费上门维修，投标文件中提供维护件清单及价格。质保期自验收合格之日起。另须明确说明质保期后的维修、维护内容及服务方式、范围和收费等情况。在免费质保期内的器材损坏，全部免费上门维修。供应商有延长质保期承诺的，执行新的质保期。2.提供的所有货物及零配件必须是投标文件中投报的品牌、型号及生产厂家，必须符合相关参数要求，必须是正规厂家出品、配套且全新的、符合国家质量检测标准；每件货物必须提供合格证，主要设备必须配套相关技术资料。 成交供应商负责在设备送达时教会用户使用。人员培训方面成交供应商定期对使用人员和维护人员进行培训，或根据采购人需求组织免费培训，保障操作人员和使用人员能够达到独立使用、操作要求。3.在免费质保期内出现质量问题，成交供应商须提供免费上门维修服务和供应零配件。保修期外，在设备寿命期内以不高于投标价格的价格保证备品备件并长期提供技术咨询服务。4.成交供应商承诺免费质保期后，继续免费提供维护和服务。5.货物出现问题时，成交供应商得到通知后2小时内响应，重大故障24小时内派技术人员到用户现场维修，供应商可自报更优惠的维修响应时间。6.成交供应商须派技术人员到场安装、调试至正常使用。7.在设备的设计使用寿命期内，成交供应商应能保证使用方更换到原厂正宗的零部件，确保设备的正常使用。8.如采购人单位要求成交供应商提供技术支持时，成交供应商须积极配合。成交供应商保证在质保服务期内提供在使用环境改变、搬迁时的现场技术支持，使搬迁后产品能够正常运行。9.各供应商要把针对本项目的售后服务承诺写入投标文件。10.合同执行期间，成交供应商应采取严格的安全措施，接受采购人的协调和管理，承担由于自身原因所造成的事故的责任及其发生的一切费用。</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包装运输</w:t>
            </w:r>
          </w:p>
        </w:tc>
        <w:tc>
          <w:tcPr>
            <w:tcW w:type="dxa" w:w="4153"/>
          </w:tcPr>
          <w:p>
            <w:pPr>
              <w:pStyle w:val="null5"/>
              <w:jc w:val="left"/>
            </w:pPr>
            <w:r>
              <w:rPr>
                <w:rFonts w:ascii="仿宋_GB2312" w:hAnsi="仿宋_GB2312" w:cs="仿宋_GB2312" w:eastAsia="仿宋_GB2312"/>
              </w:rPr>
              <w:t>1、包装：按照产品的包装应按照国家或业务主管部门的技术规定执行，国家或业务主管部门无技术规定的，应当按双方约定采取足以保护产品安全、完好的包装方式，收取履约保证金2%。2.运输要求：运输方式及线路：由乙方自定。运输及相关费用：由乙方承担。</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安装调试</w:t>
            </w:r>
          </w:p>
        </w:tc>
        <w:tc>
          <w:tcPr>
            <w:tcW w:type="dxa" w:w="4153"/>
          </w:tcPr>
          <w:p>
            <w:pPr>
              <w:pStyle w:val="null5"/>
              <w:jc w:val="left"/>
            </w:pPr>
            <w:r>
              <w:rPr>
                <w:rFonts w:ascii="仿宋_GB2312" w:hAnsi="仿宋_GB2312" w:cs="仿宋_GB2312" w:eastAsia="仿宋_GB2312"/>
              </w:rPr>
              <w:t>1、货物（产品）运抵现场后，中标人应在7天内派工程技术人员到达现场，采购人将对货物（产品）数量、质量、规格等进行检验。如发现货物（产品）和规格或者两者都与招标文件、投标文件、合同不符，采购人有权限根据检验结果要求中标人立即更换或者提出索赔要求。 2、货物（产品）由中标人进行安装、调试，并承担因此发生的一切费用。完毕后，采购人应对货物（产品）的数量、质量、规格、性能等进行详细而全面地检验。 3、对安装有特殊要求的货物（产品），中标人应在合同签订后10个工作日内以书面形式向采购人提出安装场地环境要求，采购人负责安装场地的准备。</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信息化要求</w:t>
            </w:r>
          </w:p>
        </w:tc>
        <w:tc>
          <w:tcPr>
            <w:tcW w:type="dxa" w:w="4153"/>
          </w:tcPr>
          <w:p>
            <w:pPr>
              <w:pStyle w:val="null5"/>
              <w:jc w:val="left"/>
            </w:pPr>
            <w:r>
              <w:rPr>
                <w:rFonts w:ascii="仿宋_GB2312" w:hAnsi="仿宋_GB2312" w:cs="仿宋_GB2312" w:eastAsia="仿宋_GB2312"/>
              </w:rPr>
              <w:t>根据学校智慧校园建设及信息化标杆校建设的需要，对信息化项目做如下要求： 1.软件系统数据标准须符合教育部和学校相关数据标准。这一条建议在项目申报书注明即可。 2.免费提供软件系统全量数据与学校数据中心双向对接。也就是需要开放数据接口，避免数据孤岛。 3.如软件系统有移动端，需与企业微信和学校一网通办平台对接，集成到企业微信和一网通办平台。 4.软件系统需要与学校统一身份认证、信息门户和一网通办平台对接，实现单点登录。 5.新上软件系统必须满足国家信息安全等级保护二级要求，也就是软件系统需要做二级等保测评，二级等保两年测评一次，两年以后的等保测评由信息中心统一组织。 6.软件服务期需满足5年及以上，服务期内需提供系统安全补丁升级和安全漏洞修复服务。如果是延长服务期限，可以按照增加的年限在评分办法里加分。 7.如果软件需要服务器资源，需要提前与信息中心沟通，如果有剩余资源可以直接用，没有的话需要在采购软件的同时采购服务器硬件。 8. 因网络安全需要，新上系统初始密码必须是包含不连续、无规则、无个人特征的字母、数字和特殊字符的随机密码且长度不少于10位，每个用户的密码都不一样；第一次登录系统后必须强制修改密码，建议定期强制修改密码（最少半年一次），修改密码规则必须是包含不连续、无规则、无个人特征的字母、数字和特殊字符的随机密码且长度不少于10位。 9.新上业务系统能够将内部的流程审批或业务办理独立挂接，与一网通办平台对接。 10．涉及系统之间对接的项目需等项目正式上线后开启服务期。</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1）采购文件所列示的产品技术要求及各项指标，应理解为影响设备功能的参数均为最低满足值，其他参数均为参考值。对于采购文件中所列技术参数及参考品牌，仅表示采购人对该采购产品的技术功能配置和品牌档次的选择期望或功能描述，供参考，并不意味着采购人否决满足采购文件要求的其他产品的投标。供应商应根据其投标产品特点、技术参数、功能配置选择其投标产品，并能提供其产品完全满足采购文件要求的相应证明材料。（2）对于磋商文件中没有列出，而对将来货物的正常使用和维护必不可少的备件、专用工具和消耗品，供应商应一并采购，保证货物的正常使用。同时，供应商应根据采购人的技术要求，直至完成验收达到合同要求并交付采购人使用，所用材料等必须符合国家标准及行业要求。因供应商自身原因，而达不到项目指标、要求或效果时，成交供应商应无条件免费增加设备或材料，直至达到采购要求的效果。（3）供应商应如实在响应文件中的“技术参数偏离表”中注明投标产品与采购文件技术要求的偏离情况；未予注明的，视为全部满足采购文件要求。（4）供应商须提供所投的产品的规格型号、配置等，注明产厂产地。所投的产品必须为原装、正规厂家生产，符合国家质量检测标准，具有该产品的出厂标准或鉴定报告等相关资料。本项目所有货物均必须采用正规厂家的合格产品，由供应商负责采购，其所购材料的质量等需经采购人认可后方可使用，采购人若发现供应商供应的某些货物明显达不到采购要求，采购人有权要求置换，价格不予调整。用于本项目的所有材料、设备一经运至现场，由供应商负责统一保管，运输损耗费、装卸费、采购保管费、材料检验试验费及其它损耗费采购人不再单独支付。（5）供应商必须对所有货物进行响应报价，否则按响应无效处理。供应商所报综合单价均应包括：为完成采购项目所需的设备费、人工费、材料费（含辅材）、包装费、运输费、保管费、安装调试费、缺陷修复费、管理费、保险费、检验检测费、鉴定费、验收费用、维护费用、利润、税金及政策性规定的各种费用，并包括价格的涨价风险以及合同明示或暗示的所有责任及义务和不可抗力以外的一切风险，供应商应结合本企业和市场情况自主进行报价。清单内产品数量为合同约定数量，根据实际供货数量，据实结算。（6）成交供应商负责承担货物的运输、安装调试、运行维护及验收工作发生的一切费用，在此期间应接受采购人的协调和管理，成交供应商应采取严格的安全措施，承担由于自身原因所造成的事故责任及其发生的一切费用。</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自签订合同之日起90个工作日内供货、安装调试完毕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采购人指定地点，到房间内就位。</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1、合同签订后，主要货物到场后，达到付款条件起10日内，支付合同总金额的50.00%</w:t>
            </w:r>
          </w:p>
          <w:p>
            <w:pPr>
              <w:pStyle w:val="null5"/>
              <w:jc w:val="left"/>
            </w:pPr>
            <w:r>
              <w:rPr>
                <w:rFonts w:ascii="仿宋_GB2312" w:hAnsi="仿宋_GB2312" w:cs="仿宋_GB2312" w:eastAsia="仿宋_GB2312"/>
              </w:rPr>
              <w:t>2、项目验收合格后，达到付款条件起10日内，支付合同总金额的50.00%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信用记录</w:t>
            </w:r>
          </w:p>
        </w:tc>
        <w:tc>
          <w:tcPr>
            <w:tcW w:type="dxa" w:w="3322"/>
          </w:tcPr>
          <w:p>
            <w:pPr>
              <w:pStyle w:val="null5"/>
              <w:jc w:val="left"/>
            </w:pPr>
            <w:r>
              <w:rPr>
                <w:rFonts w:ascii="仿宋_GB2312" w:hAnsi="仿宋_GB2312" w:cs="仿宋_GB2312" w:eastAsia="仿宋_GB2312"/>
              </w:rPr>
              <w:t>在“信用中国”、中国政府采购网、“信用山东”网站中被列入失信被执行人、重大税收违法案件当事人名单、政府采购严重违法失信行为记录名单的供应商，不得参加本次采购活动</w:t>
            </w:r>
          </w:p>
        </w:tc>
        <w:tc>
          <w:tcPr>
            <w:tcW w:type="dxa" w:w="1661"/>
          </w:tcPr>
          <w:p>
            <w:pPr>
              <w:pStyle w:val="null5"/>
              <w:jc w:val="left"/>
            </w:pPr>
            <w:r>
              <w:rPr>
                <w:rFonts w:ascii="仿宋_GB2312" w:hAnsi="仿宋_GB2312" w:cs="仿宋_GB2312" w:eastAsia="仿宋_GB2312"/>
              </w:rPr>
              <w:t>投标人无不良信用记录证明材料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单位负责人为同一人或者存在直接控股、管理关系的不同供应商，不得参加同一合同项下（同一包号）的政府采购活动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单位负责人为同一人或者存在直接控股、管理关系的不同供应商，不得参加同一合同项下（同一包号）的政府采购活动</w:t>
            </w:r>
          </w:p>
        </w:tc>
        <w:tc>
          <w:tcPr>
            <w:tcW w:type="dxa" w:w="1661"/>
          </w:tcPr>
          <w:p>
            <w:pPr>
              <w:pStyle w:val="null5"/>
              <w:jc w:val="left"/>
            </w:pPr>
            <w:r>
              <w:rPr>
                <w:rFonts w:ascii="仿宋_GB2312" w:hAnsi="仿宋_GB2312" w:cs="仿宋_GB2312" w:eastAsia="仿宋_GB2312"/>
              </w:rPr>
              <w:t>不存在直接控股、管理关系的书面声明</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按要求提供供应商自觉抵制政府采购领域商业贿赂行为承诺书、投标人承诺函。</w:t>
            </w:r>
          </w:p>
        </w:tc>
        <w:tc>
          <w:tcPr>
            <w:tcW w:type="dxa" w:w="1661"/>
          </w:tcPr>
          <w:p>
            <w:pPr>
              <w:pStyle w:val="null5"/>
              <w:jc w:val="left"/>
            </w:pPr>
            <w:r>
              <w:rPr>
                <w:rFonts w:ascii="仿宋_GB2312" w:hAnsi="仿宋_GB2312" w:cs="仿宋_GB2312" w:eastAsia="仿宋_GB2312"/>
              </w:rPr>
              <w:t>投标人承诺函、自觉抵制政府采购领域商业贿赂行为承诺书、封面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法定代表人授权委托书；如法定代表人投标，需提供法定代表人身份证明</w:t>
            </w:r>
          </w:p>
        </w:tc>
        <w:tc>
          <w:tcPr>
            <w:tcW w:type="dxa" w:w="3322"/>
          </w:tcPr>
          <w:p>
            <w:pPr>
              <w:pStyle w:val="null5"/>
              <w:jc w:val="left"/>
            </w:pPr>
            <w:r>
              <w:rPr>
                <w:rFonts w:ascii="仿宋_GB2312" w:hAnsi="仿宋_GB2312" w:cs="仿宋_GB2312" w:eastAsia="仿宋_GB2312"/>
              </w:rPr>
              <w:t>提供法定代表人授权委托书，委托代理人参加投标的，委托代理人应为投标人单位职工，应提供在投标人单位投标截止日前近6个月内连续缴纳4个月或以上社保记录证明（应有二维码、校验码或验真码或查询网址等验证信息，不得遮盖或不得模糊不清）</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政府强制采购节能产品明细表</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采购文件未明确说明允许投报进口产品，而投报了进口产品的</w:t>
            </w:r>
          </w:p>
        </w:tc>
        <w:tc>
          <w:tcPr>
            <w:tcW w:type="dxa" w:w="3322"/>
          </w:tcPr>
          <w:p>
            <w:pPr>
              <w:pStyle w:val="null5"/>
              <w:jc w:val="left"/>
            </w:pPr>
            <w:r>
              <w:rPr>
                <w:rFonts w:ascii="仿宋_GB2312" w:hAnsi="仿宋_GB2312" w:cs="仿宋_GB2312" w:eastAsia="仿宋_GB2312"/>
              </w:rPr>
              <w:t>采购文件未明确说明允许投报进口产品，而投报了进口产品的</w:t>
            </w:r>
          </w:p>
        </w:tc>
        <w:tc>
          <w:tcPr>
            <w:tcW w:type="dxa" w:w="1661"/>
          </w:tcPr>
          <w:p>
            <w:pPr>
              <w:pStyle w:val="null5"/>
              <w:jc w:val="left"/>
            </w:pPr>
            <w:r>
              <w:rPr>
                <w:rFonts w:ascii="仿宋_GB2312" w:hAnsi="仿宋_GB2312" w:cs="仿宋_GB2312" w:eastAsia="仿宋_GB2312"/>
              </w:rPr>
              <w:t>符合性审查文件</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★号条款响应</w:t>
            </w:r>
          </w:p>
        </w:tc>
        <w:tc>
          <w:tcPr>
            <w:tcW w:type="dxa" w:w="3322"/>
          </w:tcPr>
          <w:p>
            <w:pPr>
              <w:pStyle w:val="null5"/>
              <w:jc w:val="left"/>
            </w:pPr>
            <w:r>
              <w:rPr>
                <w:rFonts w:ascii="仿宋_GB2312" w:hAnsi="仿宋_GB2312" w:cs="仿宋_GB2312" w:eastAsia="仿宋_GB2312"/>
              </w:rPr>
              <w:t>不符合招标文件中任一带★号条款的</w:t>
            </w:r>
          </w:p>
        </w:tc>
        <w:tc>
          <w:tcPr>
            <w:tcW w:type="dxa" w:w="1661"/>
          </w:tcPr>
          <w:p>
            <w:pPr>
              <w:pStyle w:val="null5"/>
              <w:jc w:val="left"/>
            </w:pPr>
            <w:r>
              <w:rPr>
                <w:rFonts w:ascii="仿宋_GB2312" w:hAnsi="仿宋_GB2312" w:cs="仿宋_GB2312" w:eastAsia="仿宋_GB2312"/>
              </w:rPr>
              <w:t>符合性审查文件、技术参数响应表</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技术部分64.00分</w:t>
            </w:r>
          </w:p>
          <w:p>
            <w:pPr>
              <w:pStyle w:val="null5"/>
              <w:jc w:val="left"/>
            </w:pPr>
            <w:r>
              <w:rPr>
                <w:rFonts w:ascii="仿宋_GB2312" w:hAnsi="仿宋_GB2312" w:cs="仿宋_GB2312" w:eastAsia="仿宋_GB2312"/>
              </w:rPr>
              <w:t>商务部分6.00分</w:t>
            </w:r>
          </w:p>
          <w:p>
            <w:pPr>
              <w:pStyle w:val="null5"/>
              <w:jc w:val="left"/>
            </w:pPr>
            <w:r>
              <w:rPr>
                <w:rFonts w:ascii="仿宋_GB2312" w:hAnsi="仿宋_GB2312" w:cs="仿宋_GB2312" w:eastAsia="仿宋_GB2312"/>
              </w:rPr>
              <w:t>报价得分30.00分</w:t>
            </w:r>
          </w:p>
          <w:p>
            <w:pPr>
              <w:pStyle w:val="null5"/>
              <w:jc w:val="left"/>
            </w:pPr>
            <w:r>
              <w:rPr>
                <w:rFonts w:ascii="仿宋_GB2312" w:hAnsi="仿宋_GB2312" w:cs="仿宋_GB2312" w:eastAsia="仿宋_GB2312"/>
              </w:rPr>
              <w:t>附加分10.00分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技术参数响应情况</w:t>
            </w:r>
          </w:p>
        </w:tc>
        <w:tc>
          <w:tcPr>
            <w:tcW w:type="dxa" w:w="2575"/>
          </w:tcPr>
          <w:p>
            <w:pPr>
              <w:pStyle w:val="null5"/>
              <w:jc w:val="left"/>
            </w:pPr>
            <w:r>
              <w:rPr>
                <w:rFonts w:ascii="仿宋_GB2312" w:hAnsi="仿宋_GB2312" w:cs="仿宋_GB2312" w:eastAsia="仿宋_GB2312"/>
              </w:rPr>
              <w:t>供应商提供的产品技术参数和功能完全满足磋商文件技术参数要求的得30分，标“▲”为重要指标，每存在一处负偏离或缺项的扣2分，非“▲”为一般指标，每存在一处负偏离或缺项的扣1分，扣完为止。注：投标人需提供所投设备彩页或相应技术参数的厂家使用说明书或检测报告全本清晰影印件等作为技术证明文件佐证材料，否则评标委员会有权视相应技术参数为负偏离。</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技术支持资料</w:t>
            </w:r>
          </w:p>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架构设计方案</w:t>
            </w:r>
          </w:p>
        </w:tc>
        <w:tc>
          <w:tcPr>
            <w:tcW w:type="dxa" w:w="2575"/>
          </w:tcPr>
          <w:p>
            <w:pPr>
              <w:pStyle w:val="null5"/>
              <w:jc w:val="left"/>
            </w:pPr>
            <w:r>
              <w:rPr>
                <w:rFonts w:ascii="仿宋_GB2312" w:hAnsi="仿宋_GB2312" w:cs="仿宋_GB2312" w:eastAsia="仿宋_GB2312"/>
              </w:rPr>
              <w:t>评委综合考虑所投产品整体架构设计、升级拓展兼容性等内容进行评审：上述内容描述清晰、合理、完善、可行性强、针对性强的，得5分，每有一处不合理或不完善的扣1分，扣完为止。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tc>
      </w:tr>
      <w:tr>
        <w:tc>
          <w:tcPr>
            <w:tcW w:type="dxa" w:w="831"/>
            <w:vMerge/>
          </w:tcPr>
          <w:p/>
        </w:tc>
        <w:tc>
          <w:tcPr>
            <w:tcW w:type="dxa" w:w="1661"/>
          </w:tcPr>
          <w:p>
            <w:pPr>
              <w:pStyle w:val="null5"/>
              <w:jc w:val="left"/>
            </w:pPr>
            <w:r>
              <w:rPr>
                <w:rFonts w:ascii="仿宋_GB2312" w:hAnsi="仿宋_GB2312" w:cs="仿宋_GB2312" w:eastAsia="仿宋_GB2312"/>
              </w:rPr>
              <w:t>供货方案</w:t>
            </w:r>
          </w:p>
        </w:tc>
        <w:tc>
          <w:tcPr>
            <w:tcW w:type="dxa" w:w="2575"/>
          </w:tcPr>
          <w:p>
            <w:pPr>
              <w:pStyle w:val="null5"/>
              <w:jc w:val="left"/>
            </w:pPr>
            <w:r>
              <w:rPr>
                <w:rFonts w:ascii="仿宋_GB2312" w:hAnsi="仿宋_GB2312" w:cs="仿宋_GB2312" w:eastAsia="仿宋_GB2312"/>
              </w:rPr>
              <w:t>根据投标文件中提供的供货方案进行评审，包括包装方案，运输与保险，配送人员及车辆安排，成品保护方案等内容：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tc>
      </w:tr>
      <w:tr>
        <w:tc>
          <w:tcPr>
            <w:tcW w:type="dxa" w:w="831"/>
            <w:vMerge/>
          </w:tcPr>
          <w:p/>
        </w:tc>
        <w:tc>
          <w:tcPr>
            <w:tcW w:type="dxa" w:w="1661"/>
          </w:tcPr>
          <w:p>
            <w:pPr>
              <w:pStyle w:val="null5"/>
              <w:jc w:val="left"/>
            </w:pPr>
            <w:r>
              <w:rPr>
                <w:rFonts w:ascii="仿宋_GB2312" w:hAnsi="仿宋_GB2312" w:cs="仿宋_GB2312" w:eastAsia="仿宋_GB2312"/>
              </w:rPr>
              <w:t>安装调试方案</w:t>
            </w:r>
          </w:p>
        </w:tc>
        <w:tc>
          <w:tcPr>
            <w:tcW w:type="dxa" w:w="2575"/>
          </w:tcPr>
          <w:p>
            <w:pPr>
              <w:pStyle w:val="null5"/>
              <w:jc w:val="left"/>
            </w:pPr>
            <w:r>
              <w:rPr>
                <w:rFonts w:ascii="仿宋_GB2312" w:hAnsi="仿宋_GB2312" w:cs="仿宋_GB2312" w:eastAsia="仿宋_GB2312"/>
              </w:rPr>
              <w:t>根据投标文件中提供的安装调试方案进行评审，包括安装现场环境调查，现场安装调试，到货验收，安装调试承诺，检测方法，服务保证措施等方面：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p>
            <w:pPr>
              <w:pStyle w:val="null5"/>
              <w:jc w:val="left"/>
            </w:pPr>
            <w:r>
              <w:rPr>
                <w:rFonts w:ascii="仿宋_GB2312" w:hAnsi="仿宋_GB2312" w:cs="仿宋_GB2312" w:eastAsia="仿宋_GB2312"/>
              </w:rPr>
              <w:t>配置明细表</w:t>
            </w:r>
          </w:p>
        </w:tc>
      </w:tr>
      <w:tr>
        <w:tc>
          <w:tcPr>
            <w:tcW w:type="dxa" w:w="831"/>
            <w:vMerge/>
          </w:tcPr>
          <w:p/>
        </w:tc>
        <w:tc>
          <w:tcPr>
            <w:tcW w:type="dxa" w:w="1661"/>
          </w:tcPr>
          <w:p>
            <w:pPr>
              <w:pStyle w:val="null5"/>
              <w:jc w:val="left"/>
            </w:pPr>
            <w:r>
              <w:rPr>
                <w:rFonts w:ascii="仿宋_GB2312" w:hAnsi="仿宋_GB2312" w:cs="仿宋_GB2312" w:eastAsia="仿宋_GB2312"/>
              </w:rPr>
              <w:t>培训及实施方案</w:t>
            </w:r>
          </w:p>
        </w:tc>
        <w:tc>
          <w:tcPr>
            <w:tcW w:type="dxa" w:w="2575"/>
          </w:tcPr>
          <w:p>
            <w:pPr>
              <w:pStyle w:val="null5"/>
              <w:jc w:val="left"/>
            </w:pPr>
            <w:r>
              <w:rPr>
                <w:rFonts w:ascii="仿宋_GB2312" w:hAnsi="仿宋_GB2312" w:cs="仿宋_GB2312" w:eastAsia="仿宋_GB2312"/>
              </w:rPr>
              <w:t>根据投标文件中提供的培训及实施方案进行评审，包括培训目的，培训内容、培训对象、培训形式等方面：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tc>
      </w:tr>
      <w:tr>
        <w:tc>
          <w:tcPr>
            <w:tcW w:type="dxa" w:w="831"/>
            <w:vMerge/>
          </w:tcPr>
          <w:p/>
        </w:tc>
        <w:tc>
          <w:tcPr>
            <w:tcW w:type="dxa" w:w="1661"/>
          </w:tcPr>
          <w:p>
            <w:pPr>
              <w:pStyle w:val="null5"/>
              <w:jc w:val="left"/>
            </w:pPr>
            <w:r>
              <w:rPr>
                <w:rFonts w:ascii="仿宋_GB2312" w:hAnsi="仿宋_GB2312" w:cs="仿宋_GB2312" w:eastAsia="仿宋_GB2312"/>
              </w:rPr>
              <w:t>售后服务方案1</w:t>
            </w:r>
          </w:p>
        </w:tc>
        <w:tc>
          <w:tcPr>
            <w:tcW w:type="dxa" w:w="2575"/>
          </w:tcPr>
          <w:p>
            <w:pPr>
              <w:pStyle w:val="null5"/>
              <w:jc w:val="left"/>
            </w:pPr>
            <w:r>
              <w:rPr>
                <w:rFonts w:ascii="仿宋_GB2312" w:hAnsi="仿宋_GB2312" w:cs="仿宋_GB2312" w:eastAsia="仿宋_GB2312"/>
              </w:rPr>
              <w:t>根据供应商提供的售后服务方案进行评审，包括售后服务方案、人员配备、设备故障应急方案、备品备件等方面：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tc>
      </w:tr>
      <w:tr>
        <w:tc>
          <w:tcPr>
            <w:tcW w:type="dxa" w:w="831"/>
            <w:vMerge/>
          </w:tcPr>
          <w:p/>
        </w:tc>
        <w:tc>
          <w:tcPr>
            <w:tcW w:type="dxa" w:w="1661"/>
          </w:tcPr>
          <w:p>
            <w:pPr>
              <w:pStyle w:val="null5"/>
              <w:jc w:val="left"/>
            </w:pPr>
            <w:r>
              <w:rPr>
                <w:rFonts w:ascii="仿宋_GB2312" w:hAnsi="仿宋_GB2312" w:cs="仿宋_GB2312" w:eastAsia="仿宋_GB2312"/>
              </w:rPr>
              <w:t>售后服务方案2</w:t>
            </w:r>
          </w:p>
        </w:tc>
        <w:tc>
          <w:tcPr>
            <w:tcW w:type="dxa" w:w="2575"/>
          </w:tcPr>
          <w:p>
            <w:pPr>
              <w:pStyle w:val="null5"/>
              <w:jc w:val="left"/>
            </w:pPr>
            <w:r>
              <w:rPr>
                <w:rFonts w:ascii="仿宋_GB2312" w:hAnsi="仿宋_GB2312" w:cs="仿宋_GB2312" w:eastAsia="仿宋_GB2312"/>
              </w:rPr>
              <w:t>根据供应商提供的服务质量保证体系内容进行评审：上述内容描述清晰、合理、完善、可行性强、针对性强的，得5分，每有一处不合理或不完善的扣1分，扣完为止。</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p>
            <w:pPr>
              <w:pStyle w:val="null5"/>
              <w:jc w:val="left"/>
            </w:pPr>
            <w:r>
              <w:rPr>
                <w:rFonts w:ascii="仿宋_GB2312" w:hAnsi="仿宋_GB2312" w:cs="仿宋_GB2312" w:eastAsia="仿宋_GB2312"/>
              </w:rPr>
              <w:t>质保期内供应的备品备件、易损件、专用工具价格表</w:t>
            </w:r>
          </w:p>
        </w:tc>
      </w:tr>
      <w:tr>
        <w:tc>
          <w:tcPr>
            <w:tcW w:type="dxa" w:w="831"/>
            <w:vMerge/>
          </w:tcPr>
          <w:p/>
        </w:tc>
        <w:tc>
          <w:tcPr>
            <w:tcW w:type="dxa" w:w="1661"/>
          </w:tcPr>
          <w:p>
            <w:pPr>
              <w:pStyle w:val="null5"/>
              <w:jc w:val="left"/>
            </w:pPr>
            <w:r>
              <w:rPr>
                <w:rFonts w:ascii="仿宋_GB2312" w:hAnsi="仿宋_GB2312" w:cs="仿宋_GB2312" w:eastAsia="仿宋_GB2312"/>
              </w:rPr>
              <w:t>对接方案</w:t>
            </w:r>
          </w:p>
        </w:tc>
        <w:tc>
          <w:tcPr>
            <w:tcW w:type="dxa" w:w="2575"/>
          </w:tcPr>
          <w:p>
            <w:pPr>
              <w:pStyle w:val="null5"/>
              <w:jc w:val="left"/>
            </w:pPr>
            <w:r>
              <w:rPr>
                <w:rFonts w:ascii="仿宋_GB2312" w:hAnsi="仿宋_GB2312" w:cs="仿宋_GB2312" w:eastAsia="仿宋_GB2312"/>
              </w:rPr>
              <w:t>根据供应商提供的对接方案进行评审，包括对接原理、步骤、方式方法等方面：上述内容描述清晰、合理完善、可行性强、针对性强的，得4分，每有一处不合理或不完善的扣1分，扣完为止。</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技术方案</w:t>
            </w:r>
          </w:p>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提供供应商近年（2023年1月1日至投标文件递交截止时间，以合同签订日期为准）以来签订的类似项目业绩，每提供1项业绩得2分，最高得6分。 注：1、需提供合同扫描件（必须体现货物名称、品牌型号、配置清单、合同双方签字盖章页等合同关键信息），否则业绩不予认可。2、制造商销售给经销商或代理商的销售业绩不予认可。</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人工智能开放型区域产教融合实践中心-AI产业园区北区实训室一响应报价低于全部通过符合性审查供应商响应报价平均值50%的，即人工智能开放型区域产教融合实践中心-AI产业园区北区实训室一响应报价&lt;全部通过符合性审查供应商响应报价平均值×50%。 （2）人工智能开放型区域产教融合实践中心-AI产业园区北区实训室一响应报价低于通过符合性审查且报价次低供应商响应报价50%的，即人工智能开放型区域产教融合实践中心-AI产业园区北区实训室一响应报价&lt;通过符合性审查且报价次低供应商响应报价×50%。 （3）人工智能开放型区域产教融合实践中心-AI产业园区北区实训室一响应报价低于最高限价45%的，即人工智能开放型区域产教融合实践中心-AI产业园区北区实训室一响应报价&lt;最高限价×45%。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节能、环保产品</w:t>
            </w:r>
          </w:p>
        </w:tc>
        <w:tc>
          <w:tcPr>
            <w:tcW w:type="dxa" w:w="2575"/>
          </w:tcPr>
          <w:p>
            <w:pPr>
              <w:pStyle w:val="null5"/>
              <w:jc w:val="left"/>
            </w:pPr>
            <w:r>
              <w:rPr>
                <w:rFonts w:ascii="仿宋_GB2312" w:hAnsi="仿宋_GB2312" w:cs="仿宋_GB2312" w:eastAsia="仿宋_GB2312"/>
              </w:rPr>
              <w:t>本项目评标委员会在综合评审时将在供应商满足基本技术条件的前提下，对技术和价格项目按下列规则给予一定幅度的加分。 （1）在价格评标项中，对节能、环保产品分别给予价格评标总分值的 5％的加分； （2）在技术评标项中，对节能、环保产品分别给予技术评标总分值的 5％的加分。 （3）如果供应商提供的产品的一部分为节能、环保产品，由评委在评标时依据节能、环保产品所占比重给予加分，最高不超过价格评标总分值和技术评标总分值的 5% 。</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环境标志产品、节能产品明细表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如投报产品中既有本国产品又有非本国产品参与竞争的，对符合条件的本国产品报价或全部产品总报价给予20%的价格扣除，用扣除后的价格参与评审。符合条件的供应商应当在参加政府采购活动时，提供国办发[2025]34号规定的《关于符合本国产品标准的声明函》；如采购项目或者采购包中含有多种产品时，供应商还应同时提供所投符合本国产品标准的产品成本之和占其提供的全部产品成本之和比例是否达到80%的承诺函，并对声明、承诺的真实性负责。未达到相应比例或未提供声明函、承诺函或声明函、承诺函内容不符合上述相关要求的，评审时不享受本国产品优惠政策。</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人工智能开放型区域产教融合实践中心-AI产业园区北区实训室一响应报价低于全部通过符合性审查供应商响应报价平均值50%的，即人工智能开放型区域产教融合实践中心-AI产业园区北区实训室一响应报价&lt;全部通过符合性审查供应商响应报价平均值×50%。</w:t>
              <w:br/>
              <w:t>（2）人工智能开放型区域产教融合实践中心-AI产业园区北区实训室一响应报价低于通过符合性审查且报价次低供应商响应报价50%的，即人工智能开放型区域产教融合实践中心-AI产业园区北区实训室一响应报价&lt;通过符合性审查且报价次低供应商响应报价×50%。</w:t>
              <w:br/>
              <w:t>（3）人工智能开放型区域产教融合实践中心-AI产业园区北区实训室一响应报价低于最高限价45%的，即人工智能开放型区域产教融合实践中心-AI产业园区北区实训室一响应报价&lt;最高限价×45%。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互动教学终端</w:t>
            </w:r>
          </w:p>
        </w:tc>
        <w:tc>
          <w:tcPr>
            <w:tcW w:type="dxa" w:w="2076"/>
          </w:tcPr>
          <w:p>
            <w:pPr>
              <w:pStyle w:val="null5"/>
              <w:jc w:val="left"/>
            </w:pPr>
            <w:r>
              <w:rPr>
                <w:rFonts w:ascii="仿宋_GB2312" w:hAnsi="仿宋_GB2312" w:cs="仿宋_GB2312" w:eastAsia="仿宋_GB2312"/>
              </w:rPr>
              <w:t>互动教学终端</w:t>
            </w:r>
          </w:p>
        </w:tc>
      </w:tr>
      <w:tr>
        <w:tc>
          <w:tcPr>
            <w:tcW w:type="dxa" w:w="1038"/>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交换机</w:t>
            </w:r>
          </w:p>
        </w:tc>
        <w:tc>
          <w:tcPr>
            <w:tcW w:type="dxa" w:w="2076"/>
          </w:tcPr>
          <w:p>
            <w:pPr>
              <w:pStyle w:val="null5"/>
              <w:jc w:val="left"/>
            </w:pPr>
            <w:r>
              <w:rPr>
                <w:rFonts w:ascii="仿宋_GB2312" w:hAnsi="仿宋_GB2312" w:cs="仿宋_GB2312" w:eastAsia="仿宋_GB2312"/>
              </w:rPr>
              <w:t>交换机</w:t>
            </w:r>
          </w:p>
        </w:tc>
      </w:tr>
      <w:tr>
        <w:tc>
          <w:tcPr>
            <w:tcW w:type="dxa" w:w="1038"/>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企业级路由器</w:t>
            </w:r>
          </w:p>
        </w:tc>
        <w:tc>
          <w:tcPr>
            <w:tcW w:type="dxa" w:w="2076"/>
          </w:tcPr>
          <w:p>
            <w:pPr>
              <w:pStyle w:val="null5"/>
              <w:jc w:val="left"/>
            </w:pPr>
            <w:r>
              <w:rPr>
                <w:rFonts w:ascii="仿宋_GB2312" w:hAnsi="仿宋_GB2312" w:cs="仿宋_GB2312" w:eastAsia="仿宋_GB2312"/>
              </w:rPr>
              <w:t>企业级路由器</w:t>
            </w:r>
          </w:p>
        </w:tc>
      </w:tr>
      <w:tr>
        <w:tc>
          <w:tcPr>
            <w:tcW w:type="dxa" w:w="1038"/>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机柜</w:t>
            </w:r>
          </w:p>
        </w:tc>
        <w:tc>
          <w:tcPr>
            <w:tcW w:type="dxa" w:w="2076"/>
          </w:tcPr>
          <w:p>
            <w:pPr>
              <w:pStyle w:val="null5"/>
              <w:jc w:val="left"/>
            </w:pPr>
            <w:r>
              <w:rPr>
                <w:rFonts w:ascii="仿宋_GB2312" w:hAnsi="仿宋_GB2312" w:cs="仿宋_GB2312" w:eastAsia="仿宋_GB2312"/>
              </w:rPr>
              <w:t>机柜</w:t>
            </w:r>
          </w:p>
        </w:tc>
      </w:tr>
      <w:tr>
        <w:tc>
          <w:tcPr>
            <w:tcW w:type="dxa" w:w="1038"/>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实训桌椅</w:t>
            </w:r>
          </w:p>
        </w:tc>
        <w:tc>
          <w:tcPr>
            <w:tcW w:type="dxa" w:w="2076"/>
          </w:tcPr>
          <w:p>
            <w:pPr>
              <w:pStyle w:val="null5"/>
              <w:jc w:val="left"/>
            </w:pPr>
            <w:r>
              <w:rPr>
                <w:rFonts w:ascii="仿宋_GB2312" w:hAnsi="仿宋_GB2312" w:cs="仿宋_GB2312" w:eastAsia="仿宋_GB2312"/>
              </w:rPr>
              <w:t>实训桌椅</w:t>
            </w:r>
          </w:p>
        </w:tc>
      </w:tr>
      <w:tr>
        <w:tc>
          <w:tcPr>
            <w:tcW w:type="dxa" w:w="1038"/>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显示系统</w:t>
            </w:r>
          </w:p>
        </w:tc>
        <w:tc>
          <w:tcPr>
            <w:tcW w:type="dxa" w:w="2076"/>
          </w:tcPr>
          <w:p>
            <w:pPr>
              <w:pStyle w:val="null5"/>
              <w:jc w:val="left"/>
            </w:pPr>
            <w:r>
              <w:rPr>
                <w:rFonts w:ascii="仿宋_GB2312" w:hAnsi="仿宋_GB2312" w:cs="仿宋_GB2312" w:eastAsia="仿宋_GB2312"/>
              </w:rPr>
              <w:t>显示系统</w:t>
            </w:r>
          </w:p>
        </w:tc>
      </w:tr>
      <w:tr>
        <w:tc>
          <w:tcPr>
            <w:tcW w:type="dxa" w:w="1038"/>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会议桌</w:t>
            </w:r>
          </w:p>
        </w:tc>
        <w:tc>
          <w:tcPr>
            <w:tcW w:type="dxa" w:w="2076"/>
          </w:tcPr>
          <w:p>
            <w:pPr>
              <w:pStyle w:val="null5"/>
              <w:jc w:val="left"/>
            </w:pPr>
            <w:r>
              <w:rPr>
                <w:rFonts w:ascii="仿宋_GB2312" w:hAnsi="仿宋_GB2312" w:cs="仿宋_GB2312" w:eastAsia="仿宋_GB2312"/>
              </w:rPr>
              <w:t>会议桌</w:t>
            </w:r>
          </w:p>
        </w:tc>
      </w:tr>
      <w:tr>
        <w:tc>
          <w:tcPr>
            <w:tcW w:type="dxa" w:w="1038"/>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网络中心机柜</w:t>
            </w:r>
          </w:p>
        </w:tc>
        <w:tc>
          <w:tcPr>
            <w:tcW w:type="dxa" w:w="2076"/>
          </w:tcPr>
          <w:p>
            <w:pPr>
              <w:pStyle w:val="null5"/>
              <w:jc w:val="left"/>
            </w:pPr>
            <w:r>
              <w:rPr>
                <w:rFonts w:ascii="仿宋_GB2312" w:hAnsi="仿宋_GB2312" w:cs="仿宋_GB2312" w:eastAsia="仿宋_GB2312"/>
              </w:rPr>
              <w:t>网络中心机柜</w:t>
            </w:r>
          </w:p>
        </w:tc>
      </w:tr>
      <w:tr>
        <w:tc>
          <w:tcPr>
            <w:tcW w:type="dxa" w:w="1038"/>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业务交换机</w:t>
            </w:r>
          </w:p>
        </w:tc>
        <w:tc>
          <w:tcPr>
            <w:tcW w:type="dxa" w:w="2076"/>
          </w:tcPr>
          <w:p>
            <w:pPr>
              <w:pStyle w:val="null5"/>
              <w:jc w:val="left"/>
            </w:pPr>
            <w:r>
              <w:rPr>
                <w:rFonts w:ascii="仿宋_GB2312" w:hAnsi="仿宋_GB2312" w:cs="仿宋_GB2312" w:eastAsia="仿宋_GB2312"/>
              </w:rPr>
              <w:t>业务交换机</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详见附件：质保期内供应的备品备件、易损件、专用工具价格表</w:t>
      </w:r>
    </w:p>
    <w:p>
      <w:pPr>
        <w:pStyle w:val="null5"/>
        <w:ind w:firstLine="960"/>
        <w:jc w:val="left"/>
      </w:pPr>
      <w:r>
        <w:rPr>
          <w:rFonts w:ascii="仿宋_GB2312" w:hAnsi="仿宋_GB2312" w:cs="仿宋_GB2312" w:eastAsia="仿宋_GB2312"/>
        </w:rPr>
        <w:t>详见附件：政府强制采购节能产品明细表</w:t>
      </w:r>
    </w:p>
    <w:p>
      <w:pPr>
        <w:pStyle w:val="null5"/>
        <w:ind w:firstLine="960"/>
        <w:jc w:val="left"/>
      </w:pPr>
      <w:r>
        <w:rPr>
          <w:rFonts w:ascii="仿宋_GB2312" w:hAnsi="仿宋_GB2312" w:cs="仿宋_GB2312" w:eastAsia="仿宋_GB2312"/>
        </w:rPr>
        <w:t>详见附件：配置明细表</w:t>
      </w:r>
    </w:p>
    <w:p>
      <w:pPr>
        <w:pStyle w:val="null5"/>
        <w:ind w:firstLine="960"/>
        <w:jc w:val="left"/>
      </w:pPr>
      <w:r>
        <w:rPr>
          <w:rFonts w:ascii="仿宋_GB2312" w:hAnsi="仿宋_GB2312" w:cs="仿宋_GB2312" w:eastAsia="仿宋_GB2312"/>
        </w:rPr>
        <w:t>详见附件：技术支持资料</w:t>
      </w:r>
    </w:p>
    <w:p>
      <w:pPr>
        <w:pStyle w:val="null5"/>
        <w:ind w:firstLine="960"/>
        <w:jc w:val="left"/>
      </w:pPr>
      <w:r>
        <w:rPr>
          <w:rFonts w:ascii="仿宋_GB2312" w:hAnsi="仿宋_GB2312" w:cs="仿宋_GB2312" w:eastAsia="仿宋_GB2312"/>
        </w:rPr>
        <w:t>详见附件：技术方案</w:t>
      </w:r>
    </w:p>
    <w:p>
      <w:pPr>
        <w:pStyle w:val="null5"/>
        <w:ind w:firstLine="960"/>
        <w:jc w:val="left"/>
      </w:pPr>
      <w:r>
        <w:rPr>
          <w:rFonts w:ascii="仿宋_GB2312" w:hAnsi="仿宋_GB2312" w:cs="仿宋_GB2312" w:eastAsia="仿宋_GB2312"/>
        </w:rPr>
        <w:t>详见附件：环境标志产品、节能产品明细表</w:t>
      </w:r>
    </w:p>
    <w:p>
      <w:pPr>
        <w:pStyle w:val="null5"/>
        <w:ind w:firstLine="960"/>
        <w:jc w:val="left"/>
      </w:pPr>
      <w:r>
        <w:rPr>
          <w:rFonts w:ascii="仿宋_GB2312" w:hAnsi="仿宋_GB2312" w:cs="仿宋_GB2312" w:eastAsia="仿宋_GB2312"/>
        </w:rPr>
        <w:t>详见附件：符合性审查文件</w:t>
      </w:r>
    </w:p>
    <w:p>
      <w:pPr>
        <w:pStyle w:val="null5"/>
        <w:ind w:firstLine="960"/>
        <w:jc w:val="left"/>
      </w:pPr>
      <w:r>
        <w:rPr>
          <w:rFonts w:ascii="仿宋_GB2312" w:hAnsi="仿宋_GB2312" w:cs="仿宋_GB2312" w:eastAsia="仿宋_GB2312"/>
        </w:rPr>
        <w:t>详见附件：投标人无不良信用记录证明材料</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详见附件：不存在直接控股、管理关系的书面声明</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