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技术响应表</w:t>
      </w:r>
    </w:p>
    <w:p>
      <w:pPr>
        <w:rPr>
          <w:rFonts w:hint="eastAsia"/>
          <w:lang w:val="en-US" w:eastAsia="zh-CN"/>
        </w:rPr>
      </w:pPr>
    </w:p>
    <w:tbl>
      <w:tblPr>
        <w:tblStyle w:val="9"/>
        <w:tblW w:w="14646" w:type="dxa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3"/>
        <w:gridCol w:w="8910"/>
        <w:gridCol w:w="2895"/>
        <w:gridCol w:w="990"/>
        <w:gridCol w:w="126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583" w:type="dxa"/>
            <w:noWrap w:val="0"/>
            <w:vAlign w:val="top"/>
          </w:tcPr>
          <w:p>
            <w:pPr>
              <w:pStyle w:val="11"/>
              <w:spacing w:before="199" w:line="222" w:lineRule="auto"/>
              <w:ind w:left="122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8"/>
                <w:sz w:val="22"/>
                <w:szCs w:val="22"/>
              </w:rPr>
              <w:t>序号</w:t>
            </w:r>
          </w:p>
        </w:tc>
        <w:tc>
          <w:tcPr>
            <w:tcW w:w="8910" w:type="dxa"/>
            <w:noWrap w:val="0"/>
            <w:vAlign w:val="top"/>
          </w:tcPr>
          <w:p>
            <w:pPr>
              <w:pStyle w:val="11"/>
              <w:spacing w:before="199" w:line="222" w:lineRule="auto"/>
              <w:ind w:left="118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</w:rPr>
              <w:t>文件要求</w:t>
            </w:r>
          </w:p>
        </w:tc>
        <w:tc>
          <w:tcPr>
            <w:tcW w:w="2895" w:type="dxa"/>
            <w:noWrap w:val="0"/>
            <w:vAlign w:val="top"/>
          </w:tcPr>
          <w:p>
            <w:pPr>
              <w:pStyle w:val="11"/>
              <w:spacing w:before="199" w:line="222" w:lineRule="auto"/>
              <w:ind w:left="127"/>
              <w:jc w:val="center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</w:rPr>
              <w:t>响应文件响应情况</w:t>
            </w:r>
          </w:p>
        </w:tc>
        <w:tc>
          <w:tcPr>
            <w:tcW w:w="990" w:type="dxa"/>
            <w:noWrap w:val="0"/>
            <w:vAlign w:val="top"/>
          </w:tcPr>
          <w:p>
            <w:pPr>
              <w:pStyle w:val="11"/>
              <w:spacing w:before="199" w:line="223" w:lineRule="auto"/>
              <w:ind w:left="128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6"/>
                <w:sz w:val="22"/>
                <w:szCs w:val="22"/>
              </w:rPr>
              <w:t>响应程度</w:t>
            </w:r>
          </w:p>
        </w:tc>
        <w:tc>
          <w:tcPr>
            <w:tcW w:w="1268" w:type="dxa"/>
            <w:noWrap w:val="0"/>
            <w:vAlign w:val="top"/>
          </w:tcPr>
          <w:p>
            <w:pPr>
              <w:pStyle w:val="11"/>
              <w:spacing w:before="199" w:line="222" w:lineRule="auto"/>
              <w:ind w:left="126"/>
              <w:rPr>
                <w:rFonts w:hint="eastAsia"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4"/>
                <w:sz w:val="22"/>
                <w:szCs w:val="22"/>
              </w:rPr>
              <w:t>正偏离理由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1</w:t>
            </w:r>
          </w:p>
        </w:tc>
        <w:tc>
          <w:tcPr>
            <w:tcW w:w="89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一、系统监控与可视化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主页统计看板：实时展示今日合格数、不合格数、总检测数、合格率四项核心生产指标，以不同颜色区分状态。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表面状态监控：实时显示颗粒板正面、反面的当前检测状态（运行/停机），并提供一键启动/停止控制。</w:t>
            </w:r>
          </w:p>
        </w:tc>
        <w:tc>
          <w:tcPr>
            <w:tcW w:w="289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</w:t>
            </w:r>
          </w:p>
        </w:tc>
        <w:tc>
          <w:tcPr>
            <w:tcW w:w="89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二、检测业务配置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生产配置：设置当前产线所用的检测模型、全局置信度阈值、产品类型及规格参数。</w:t>
            </w:r>
          </w:p>
          <w:p>
            <w:p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检测类别配置：针对可见光表面模型和纹理增强模型，分别配置各缺陷类别（划痕、压痕、污渍、鼓包、脱胶等）在正面/反面的检测开关与独立置信度阈值。</w:t>
            </w:r>
          </w:p>
        </w:tc>
        <w:tc>
          <w:tcPr>
            <w:tcW w:w="289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3</w:t>
            </w:r>
          </w:p>
        </w:tc>
        <w:tc>
          <w:tcPr>
            <w:tcW w:w="89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三、系统参数管理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维护PLC通信地址、结果推送时间、全局置信度、保存原图开关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289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89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四、产品与模型管理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产品管理：对颗粒板产品进行增删改查，绑定对应的检测模型，管理产品规格及启用/禁用状态。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模型管理：支持检测模型的上传、版本号管理、备注说明、文件大小记录，以及模型的启用/禁用/删除操作。</w:t>
            </w:r>
          </w:p>
        </w:tc>
        <w:tc>
          <w:tcPr>
            <w:tcW w:w="289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891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五、检测记录与质量追溯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检测记录查询：按产品编号、检测结果（合格/不合格）、时间范围等条件筛选查询历史检测记录。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缺陷图像追溯：支持点击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查看图像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查看带缺陷标注的检测原图，并记录缺陷类型、数量、置信度及检测耗时。</w:t>
            </w:r>
          </w:p>
        </w:tc>
        <w:tc>
          <w:tcPr>
            <w:tcW w:w="2895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  <w:tc>
          <w:tcPr>
            <w:tcW w:w="12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2"/>
                <w:szCs w:val="22"/>
              </w:rPr>
            </w:pPr>
          </w:p>
        </w:tc>
      </w:tr>
    </w:tbl>
    <w:p>
      <w:pPr>
        <w:rPr>
          <w:sz w:val="18"/>
          <w:szCs w:val="21"/>
        </w:rPr>
      </w:pPr>
    </w:p>
    <w:sectPr>
      <w:pgSz w:w="16838" w:h="11906" w:orient="landscape"/>
      <w:pgMar w:top="1800" w:right="1134" w:bottom="180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0N2Q2YThjZDBlY2FiNWFlOWM0NjA0N2VhYTlkYzkifQ=="/>
  </w:docVars>
  <w:rsids>
    <w:rsidRoot w:val="00000000"/>
    <w:rsid w:val="1EF220FA"/>
    <w:rsid w:val="46D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3">
    <w:name w:val="Default"/>
    <w:next w:val="4"/>
    <w:autoRedefine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4">
    <w:name w:val="TOC 71"/>
    <w:next w:val="1"/>
    <w:autoRedefine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5">
    <w:name w:val="Body Text Indent"/>
    <w:basedOn w:val="1"/>
    <w:next w:val="6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6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7">
    <w:name w:val="Body Text First Indent"/>
    <w:basedOn w:val="2"/>
    <w:next w:val="8"/>
    <w:unhideWhenUsed/>
    <w:qFormat/>
    <w:uiPriority w:val="99"/>
    <w:pPr>
      <w:ind w:firstLine="420" w:firstLineChars="100"/>
    </w:pPr>
  </w:style>
  <w:style w:type="paragraph" w:styleId="8">
    <w:name w:val="Body Text First Indent 2"/>
    <w:basedOn w:val="5"/>
    <w:next w:val="7"/>
    <w:unhideWhenUsed/>
    <w:qFormat/>
    <w:uiPriority w:val="99"/>
    <w:pPr>
      <w:ind w:firstLine="420"/>
    </w:pPr>
  </w:style>
  <w:style w:type="paragraph" w:customStyle="1" w:styleId="11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2026-05-28T08:38:24Z</dcterms:created>
  <dc:creator>Lenovo</dc:creator>
  <cp:lastModifiedBy>孙静</cp:lastModifiedBy>
  <dcterms:modified xsi:type="dcterms:W3CDTF">2026-05-28T08:48:32Z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EBBB5A804A7844D1BFC63B1C0EB4805F_12</vt:lpwstr>
  </property>
</Properties>
</file>